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64342D" w:rsidRDefault="0028333B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ОДЕСЬКИЙ НАЦІОНАЛЬНИЙ УНІВЕРСИТЕТ імені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64342D" w:rsidRPr="000D18E3">
        <w:trPr>
          <w:trHeight w:val="2143"/>
        </w:trPr>
        <w:tc>
          <w:tcPr>
            <w:tcW w:w="2093" w:type="dxa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4342D" w:rsidRDefault="0064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64342D" w:rsidRDefault="0028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64342D" w:rsidRDefault="0028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ІСПАНСЬКОЇ ФІЛОЛОГІЇ</w:t>
            </w:r>
          </w:p>
          <w:p w:rsidR="0064342D" w:rsidRDefault="0064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64342D" w:rsidRDefault="0028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 навчальної дисципліни</w:t>
            </w:r>
          </w:p>
          <w:p w:rsidR="0064342D" w:rsidRDefault="00283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ТРЕТЯ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 ІНОЗЕМНА МОВА (ІСПАНСЬКА)</w:t>
            </w:r>
          </w:p>
        </w:tc>
        <w:tc>
          <w:tcPr>
            <w:tcW w:w="2409" w:type="dxa"/>
          </w:tcPr>
          <w:p w:rsidR="0064342D" w:rsidRDefault="0064342D">
            <w:pPr>
              <w:spacing w:after="0"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64342D" w:rsidRDefault="0064342D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 вищої освіти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Германські мови та літератури (переклад включно), перша – англійська </w:t>
            </w:r>
          </w:p>
          <w:p w:rsidR="0064342D" w:rsidRDefault="0028333B"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манські мови та літератури (переклад включно), перша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німецька</w:t>
            </w:r>
          </w:p>
          <w:p w:rsidR="0064342D" w:rsidRDefault="0028333B"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035.055 Романські мови та літератури (переклад включно), перша – французька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tabs>
                <w:tab w:val="left" w:pos="9792"/>
              </w:tabs>
              <w:spacing w:before="3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 мови та літератури (переклад включно), перша – англійська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64342D" w:rsidRDefault="002833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64342D" w:rsidRDefault="0028333B">
            <w:pPr>
              <w:tabs>
                <w:tab w:val="left" w:pos="9792"/>
              </w:tabs>
              <w:spacing w:before="3"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 мови та літератури (переклад включно), перша – французька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 навчання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семестр 1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навчання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Дисципліна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вільного вибору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9 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кредит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ів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0 годин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з яких: практ.90,самостійних 180 годин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Мова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Іспанська, українська</w:t>
            </w:r>
          </w:p>
        </w:tc>
      </w:tr>
      <w:tr w:rsidR="0064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, час, місце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 ГРИНЬКО, кандидат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огічних наук, доцент, завідувач кафедри іспанської філології</w:t>
            </w:r>
          </w:p>
          <w:p w:rsidR="0064342D" w:rsidRDefault="002833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Володимирович Подгуренко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огічних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іспанської філології</w:t>
            </w:r>
          </w:p>
        </w:tc>
      </w:tr>
      <w:tr w:rsidR="0064342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s-ES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l.gry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nk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7BD3"/>
                        </w14:gs>
                        <w14:gs w14:pos="100000">
                          <w14:srgbClr w14:val="034373"/>
                        </w14:gs>
                      </w14:gsLst>
                      <w14:lin w14:ang="0" w14:scaled="0"/>
                    </w14:gradFill>
                  </w14:textFill>
                </w:rPr>
                <w:t>ua</w:t>
              </w:r>
            </w:hyperlink>
            <w:r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(ГринькоЛ.В.)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  <w:shd w:val="clear" w:color="auto" w:fill="FFFFFF"/>
                </w:rPr>
                <w:t>amir.tarjuman@gmail.com</w:t>
              </w:r>
            </w:hyperlink>
            <w:r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 (Подгуренко А.В.)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іспанської філології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ауд.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63В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64342D" w:rsidRPr="000D18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64342D" w:rsidRDefault="002833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</w:t>
            </w:r>
          </w:p>
          <w:p w:rsidR="0064342D" w:rsidRDefault="0028333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es-ES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</w:p>
        </w:tc>
      </w:tr>
    </w:tbl>
    <w:p w:rsidR="0064342D" w:rsidRDefault="0064342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64342D" w:rsidRDefault="0064342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64342D" w:rsidRDefault="002833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64342D" w:rsidRDefault="006434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64342D" w:rsidRDefault="0028333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Практичний курс іспанської мови як третьої іноземної мови на </w:t>
      </w:r>
      <w:r>
        <w:rPr>
          <w:rFonts w:ascii="Times New Roman" w:hAnsi="Times New Roman" w:cs="Times New Roman"/>
          <w:sz w:val="28"/>
          <w:lang w:val="uk-UA"/>
        </w:rPr>
        <w:t>факультеті романо-германської філології спрямований на розширення профілю підготовки висококваліфікованих спеціалістів філологів, викладачів іноземних мов середніх учбових закладів, а також перекладачів-референтів.</w:t>
      </w:r>
    </w:p>
    <w:p w:rsidR="0064342D" w:rsidRDefault="0028333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 практичному курсі третьої іноземної мо</w:t>
      </w:r>
      <w:r>
        <w:rPr>
          <w:rFonts w:ascii="Times New Roman" w:hAnsi="Times New Roman" w:cs="Times New Roman"/>
          <w:sz w:val="28"/>
          <w:lang w:val="uk-UA"/>
        </w:rPr>
        <w:t>ви враховуються знання основної та другої іноземних мов, мовний досвід студентів, їх уміння працювати  над вивченням іноземної мови. Вивчення третьої іноземної мови допомагає поглибленню загально-лінгвістичних знань студентів.</w:t>
      </w:r>
    </w:p>
    <w:p w:rsidR="0064342D" w:rsidRDefault="0028333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Програмою передба</w:t>
      </w:r>
      <w:r>
        <w:rPr>
          <w:rFonts w:ascii="Times New Roman" w:hAnsi="Times New Roman" w:cs="Times New Roman"/>
          <w:sz w:val="28"/>
          <w:lang w:val="uk-UA"/>
        </w:rPr>
        <w:t>чено поглиблене вивчення граматики, що дозволяє систематизувати знання студентів.</w:t>
      </w:r>
    </w:p>
    <w:p w:rsidR="0064342D" w:rsidRDefault="0028333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>
        <w:rPr>
          <w:b/>
          <w:bCs/>
          <w:iCs/>
          <w:sz w:val="28"/>
          <w:lang w:val="uk-UA"/>
        </w:rPr>
        <w:t>М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ета</w:t>
      </w:r>
      <w:r>
        <w:rPr>
          <w:rFonts w:ascii="Times New Roman" w:hAnsi="Times New Roman" w:cs="Times New Roman"/>
          <w:sz w:val="28"/>
          <w:lang w:val="uk-UA"/>
        </w:rPr>
        <w:t xml:space="preserve"> вибіркової навчальної дисципліни «</w:t>
      </w:r>
      <w:r>
        <w:rPr>
          <w:rFonts w:ascii="Times New Roman" w:hAnsi="Times New Roman" w:cs="Times New Roman"/>
          <w:i/>
          <w:sz w:val="28"/>
          <w:lang w:val="uk-UA"/>
        </w:rPr>
        <w:t>Третя іноземна мова (іспанська)</w:t>
      </w:r>
      <w:r>
        <w:rPr>
          <w:rFonts w:ascii="Times New Roman" w:hAnsi="Times New Roman" w:cs="Times New Roman"/>
          <w:sz w:val="28"/>
          <w:lang w:val="uk-UA"/>
        </w:rPr>
        <w:t>» передбачає збагачення словникового запасу студентів, продовження вивчення граматични</w:t>
      </w:r>
      <w:r>
        <w:rPr>
          <w:rFonts w:ascii="Times New Roman" w:hAnsi="Times New Roman" w:cs="Times New Roman"/>
          <w:sz w:val="28"/>
          <w:lang w:val="uk-UA"/>
        </w:rPr>
        <w:t>х особливостей іспанської мови, розвиток умінь та навичок мовлення та письма.</w:t>
      </w:r>
    </w:p>
    <w:p w:rsidR="0064342D" w:rsidRDefault="0028333B">
      <w:pPr>
        <w:pStyle w:val="3"/>
        <w:tabs>
          <w:tab w:val="clear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Протягом  курсу студенти повинні активно засвоїти нові лексичні та фразеологічні одиниці іспанської мови, оволодіти її лексико-граматичними структурами. </w:t>
      </w:r>
    </w:p>
    <w:p w:rsidR="0064342D" w:rsidRDefault="002833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мети, сформульовано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4342D" w:rsidRDefault="002833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Вдосконалити мовленнєві навички;</w:t>
      </w:r>
    </w:p>
    <w:p w:rsidR="0064342D" w:rsidRDefault="002833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Розширити словниковий запас з іспанської мови;</w:t>
      </w:r>
    </w:p>
    <w:p w:rsidR="0064342D" w:rsidRDefault="0028333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Поглибити знання студентів з граматики іспанської мови.</w:t>
      </w:r>
    </w:p>
    <w:p w:rsidR="0064342D" w:rsidRDefault="0028333B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результаті вивчення навчальної дисципліни здобувач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повинен </w:t>
      </w:r>
    </w:p>
    <w:p w:rsidR="0064342D" w:rsidRDefault="0028333B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ати: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="140" w:hangingChars="50" w:hanging="14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фонетичні особливості іспанської мови на рівні слова, синтагми та речення;</w:t>
      </w:r>
    </w:p>
    <w:p w:rsidR="0064342D" w:rsidRDefault="0028333B">
      <w:pPr>
        <w:widowControl w:val="0"/>
        <w:tabs>
          <w:tab w:val="left" w:pos="284"/>
          <w:tab w:val="left" w:pos="567"/>
        </w:tabs>
        <w:ind w:firstLineChars="50" w:firstLine="14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інтонаційні особливості різних комунікативних типів іспанських речень;</w:t>
      </w:r>
    </w:p>
    <w:p w:rsidR="0064342D" w:rsidRDefault="0028333B">
      <w:pPr>
        <w:widowControl w:val="0"/>
        <w:tabs>
          <w:tab w:val="left" w:pos="284"/>
          <w:tab w:val="left" w:pos="567"/>
        </w:tabs>
        <w:ind w:firstLineChars="50" w:firstLine="14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граматичну стру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ктуру іспанської мови ;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Chars="127" w:left="27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-певний обсяг лексичних та експресивних одиниць  для реалізації комунікації на іспанській мові;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Chars="127" w:left="27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базові принципи укладення письмових текстів;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Chars="127" w:left="27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форми навчання іноземної мови</w:t>
      </w:r>
    </w:p>
    <w:p w:rsidR="0064342D" w:rsidRDefault="0028333B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342D" w:rsidRDefault="0028333B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використовувати іспанську мову у повсякденному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спілкуванні;</w:t>
      </w:r>
    </w:p>
    <w:p w:rsidR="0064342D" w:rsidRDefault="0064342D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4342D" w:rsidRDefault="0064342D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4342D" w:rsidRDefault="0028333B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здійснувати монологічне та діалогічне мовлення;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="140" w:hangingChars="50" w:hanging="1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здійснювати переклад іспанських текстів українською мовою;</w:t>
      </w:r>
    </w:p>
    <w:p w:rsidR="0064342D" w:rsidRDefault="0028333B">
      <w:pPr>
        <w:widowControl w:val="0"/>
        <w:tabs>
          <w:tab w:val="left" w:pos="284"/>
          <w:tab w:val="left" w:pos="567"/>
        </w:tabs>
        <w:ind w:left="140" w:hangingChars="50" w:hanging="1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впроваджуати викладання іспанської мови в освітній процес.</w:t>
      </w:r>
    </w:p>
    <w:p w:rsidR="0064342D" w:rsidRDefault="0028333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64342D" w:rsidRDefault="0028333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u w:val="single"/>
          <w:lang w:val="uk-UA"/>
        </w:rPr>
        <w:t xml:space="preserve">Рік навчання 1-й,  семестр </w:t>
      </w:r>
      <w:r>
        <w:rPr>
          <w:b/>
          <w:bCs/>
          <w:i/>
          <w:iCs/>
          <w:sz w:val="28"/>
          <w:u w:val="single"/>
          <w:lang w:val="uk-UA"/>
        </w:rPr>
        <w:t>1</w:t>
      </w:r>
      <w:r>
        <w:rPr>
          <w:b/>
          <w:bCs/>
          <w:i/>
          <w:iCs/>
          <w:sz w:val="28"/>
          <w:u w:val="single"/>
          <w:lang w:val="uk-UA"/>
        </w:rPr>
        <w:t>-й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D18E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Змістовий модуль 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Граматика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Змістовий модуль 2.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Домашнє читання</w:t>
      </w:r>
    </w:p>
    <w:p w:rsidR="0064342D" w:rsidRDefault="0028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Зиістовий модуль 3. Розмовна практика</w:t>
      </w:r>
    </w:p>
    <w:p w:rsidR="0064342D" w:rsidRDefault="00643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42D" w:rsidRDefault="0028333B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Рік навчання 1-й,  семестр 2-й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18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Змістовий модуль 1.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Граматика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Змістовий модуль 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Домашнє читання</w:t>
      </w:r>
    </w:p>
    <w:p w:rsidR="0064342D" w:rsidRDefault="0028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Зиістовий модуль 3. Розмовна практика</w:t>
      </w:r>
    </w:p>
    <w:p w:rsidR="0064342D" w:rsidRDefault="00643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42D" w:rsidRDefault="00283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Рік навчання </w:t>
      </w:r>
      <w:r>
        <w:rPr>
          <w:b/>
          <w:bCs/>
          <w:i/>
          <w:iCs/>
          <w:sz w:val="28"/>
          <w:lang w:val="uk-UA"/>
        </w:rPr>
        <w:t>2</w:t>
      </w:r>
      <w:r>
        <w:rPr>
          <w:b/>
          <w:bCs/>
          <w:i/>
          <w:iCs/>
          <w:sz w:val="28"/>
          <w:lang w:val="uk-UA"/>
        </w:rPr>
        <w:t xml:space="preserve">-й,  семестр </w:t>
      </w:r>
      <w:r>
        <w:rPr>
          <w:b/>
          <w:bCs/>
          <w:i/>
          <w:iCs/>
          <w:sz w:val="28"/>
          <w:lang w:val="uk-UA"/>
        </w:rPr>
        <w:t>1</w:t>
      </w:r>
      <w:r>
        <w:rPr>
          <w:b/>
          <w:bCs/>
          <w:i/>
          <w:iCs/>
          <w:sz w:val="28"/>
          <w:lang w:val="uk-UA"/>
        </w:rPr>
        <w:t>-й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18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Змістовий модуль 1.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Граматика</w:t>
      </w:r>
    </w:p>
    <w:p w:rsidR="0064342D" w:rsidRDefault="002833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Змістовий модуль 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Домашнє читання</w:t>
      </w:r>
    </w:p>
    <w:p w:rsidR="0064342D" w:rsidRDefault="0028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Зиістовий модуль 3. Розмовна практика</w:t>
      </w:r>
    </w:p>
    <w:p w:rsidR="0064342D" w:rsidRDefault="00643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64342D" w:rsidRDefault="0028333B">
      <w:pPr>
        <w:ind w:leftChars="127" w:left="279" w:firstLineChars="271" w:firstLine="7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Словесні: пояснення понять, термінів; розповідь; бесіда, коментування,роз’яснення змісту і способу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завдань; навчальна дискусія.</w:t>
      </w:r>
    </w:p>
    <w:p w:rsidR="0064342D" w:rsidRDefault="0028333B">
      <w:pPr>
        <w:ind w:leftChars="127" w:left="279" w:firstLineChars="272" w:firstLine="7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Наочні: ілюстрування навчального матеріалу; демонстрування відео та аудіо записів.</w:t>
      </w: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Практичні: переклад; аудіювання; відповіді на запитання різних типів; читання, виконання завдань, що виносяться на самостійну роботу</w:t>
      </w:r>
    </w:p>
    <w:p w:rsidR="0064342D" w:rsidRDefault="0064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 література</w:t>
      </w:r>
    </w:p>
    <w:p w:rsidR="0064342D" w:rsidRDefault="002833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64342D" w:rsidRDefault="002833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Серебрянська А.О. Іспанська мова для початківців. Підручник. – Вінниця, НОВА КНИГА, 2009. 544 с.</w:t>
      </w:r>
    </w:p>
    <w:p w:rsidR="0064342D" w:rsidRDefault="002833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Шуппе Л.В. Колбаєнкова Т.Б.  Іспанська мова. Змістовий модуль 2</w:t>
      </w:r>
    </w:p>
    <w:p w:rsidR="0064342D" w:rsidRDefault="0028333B">
      <w:pPr>
        <w:spacing w:after="0"/>
        <w:ind w:left="360" w:firstLineChars="150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Домашнє читання» . Змістовий модуль 3 «Розмовна практика”.</w:t>
      </w:r>
    </w:p>
    <w:p w:rsidR="0064342D" w:rsidRDefault="0028333B">
      <w:pPr>
        <w:ind w:firstLineChars="30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по</w:t>
      </w:r>
      <w:r>
        <w:rPr>
          <w:rFonts w:ascii="Times New Roman" w:hAnsi="Times New Roman" w:cs="Times New Roman"/>
          <w:sz w:val="24"/>
          <w:szCs w:val="24"/>
          <w:lang w:val="uk-UA"/>
        </w:rPr>
        <w:t>сібник. – Одесса ОНУ.-2020.- Ум.друк. арк. 4.19.</w:t>
      </w:r>
    </w:p>
    <w:p w:rsidR="0064342D" w:rsidRDefault="0028333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Coronado González, María Luisa, García González, Javier, Zarzalejos Alonso, Alejandro. A Fondo. Curso de español lengua extranjera. Nivel avanzado.SGEL, 2012. 270 p.</w:t>
      </w:r>
    </w:p>
    <w:p w:rsidR="0064342D" w:rsidRDefault="0028333B"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Додаткова </w:t>
      </w:r>
    </w:p>
    <w:p w:rsidR="0064342D" w:rsidRDefault="0028333B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s-ES"/>
        </w:rPr>
        <w:t>Castro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Francisca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Uso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gramática española. Elemental. Edelsa Grupo Didascalia, S.A., 2005. – 175 c.</w:t>
      </w:r>
    </w:p>
    <w:p w:rsidR="0064342D" w:rsidRDefault="0028333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 Castro Francisca Uso de la gramática española. Intermedio. Edelsa Grupo Didascalia, S.A., 2006. </w:t>
      </w:r>
      <w:r>
        <w:rPr>
          <w:rFonts w:ascii="Times New Roman" w:hAnsi="Times New Roman" w:cs="Times New Roman"/>
          <w:sz w:val="24"/>
          <w:szCs w:val="24"/>
          <w:lang w:val="uk-UA"/>
        </w:rPr>
        <w:t>– 163 с.</w:t>
      </w:r>
    </w:p>
    <w:p w:rsidR="0064342D" w:rsidRDefault="0028333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 Castro Francisca Uso de la gramática española. Avanzado. Edelsa Grup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 Didascalia, S.A., 2006. </w:t>
      </w:r>
      <w:r>
        <w:rPr>
          <w:rFonts w:ascii="Times New Roman" w:hAnsi="Times New Roman" w:cs="Times New Roman"/>
          <w:sz w:val="24"/>
          <w:szCs w:val="24"/>
          <w:lang w:val="uk-UA"/>
        </w:rPr>
        <w:t>– 151 с.</w:t>
      </w:r>
    </w:p>
    <w:p w:rsidR="0064342D" w:rsidRDefault="0028333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Sándor László. </w:t>
      </w:r>
      <w:r>
        <w:rPr>
          <w:rFonts w:ascii="Times New Roman" w:hAnsi="Times New Roman" w:cs="Times New Roman"/>
          <w:sz w:val="24"/>
          <w:szCs w:val="24"/>
          <w:lang w:val="es-ES"/>
        </w:rPr>
        <w:t>Tiempo para practicar los pasados. Edelsa Grupo Didascalia S.A., 2012</w:t>
      </w:r>
      <w:r>
        <w:rPr>
          <w:rFonts w:ascii="Times New Roman" w:hAnsi="Times New Roman" w:cs="Times New Roman"/>
          <w:sz w:val="24"/>
          <w:szCs w:val="24"/>
          <w:lang w:val="uk-UA"/>
        </w:rPr>
        <w:t>. – 93 с.</w:t>
      </w:r>
    </w:p>
    <w:p w:rsidR="0064342D" w:rsidRDefault="0028333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5. Hernández Mercedes María Pilar. Tiempo para practicar el indicativo y el subjuntivo. Edelsa Grupo Didascalia S.A., 2009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 168 с.</w:t>
      </w:r>
    </w:p>
    <w:p w:rsidR="0064342D" w:rsidRDefault="0064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342D" w:rsidRDefault="002833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контролю  </w:t>
      </w:r>
    </w:p>
    <w:p w:rsidR="0064342D" w:rsidRDefault="002833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Поточний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: оцінювання усних відповідей під час практичних занять, оцінювання завдань, що виносяться на самостійне опрацювання.</w:t>
      </w:r>
    </w:p>
    <w:p w:rsidR="0064342D" w:rsidRDefault="002833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Підсумковий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: залік/залік/залік</w:t>
      </w:r>
    </w:p>
    <w:p w:rsidR="0064342D" w:rsidRDefault="00283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оцінювання</w:t>
      </w:r>
    </w:p>
    <w:p w:rsidR="0064342D" w:rsidRDefault="002833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поточного контролю студент може отримати максимальну оцінку (100 </w:t>
      </w:r>
    </w:p>
    <w:p w:rsidR="0064342D" w:rsidRDefault="002833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ку, якщо за результатами поточного контролю він набрав за кожну тему 60 і більше балів.</w:t>
      </w:r>
    </w:p>
    <w:p w:rsidR="0064342D" w:rsidRDefault="002833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 виконати залікове завдання </w:t>
      </w:r>
      <w:r w:rsidRPr="000D18E3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(див. Перелік питань для поточного контролю)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:rsidR="0064342D" w:rsidRDefault="002833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5862"/>
      </w:tblGrid>
      <w:tr w:rsidR="0064342D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64342D" w:rsidRPr="000D18E3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64342D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64342D">
        <w:trPr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64342D">
        <w:trPr>
          <w:trHeight w:val="194"/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2D">
        <w:trPr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2D">
        <w:trPr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2D">
        <w:trPr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:rsidR="0064342D" w:rsidRDefault="006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2D" w:rsidRPr="000D18E3">
        <w:trPr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 w:rsidR="0064342D" w:rsidRPr="000D18E3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зараховано з можливістю повторного складання</w:t>
            </w:r>
          </w:p>
        </w:tc>
      </w:tr>
      <w:tr w:rsidR="0064342D" w:rsidRPr="000D18E3">
        <w:trPr>
          <w:trHeight w:val="708"/>
          <w:jc w:val="center"/>
        </w:trPr>
        <w:tc>
          <w:tcPr>
            <w:tcW w:w="2137" w:type="dxa"/>
            <w:vAlign w:val="center"/>
          </w:tcPr>
          <w:p w:rsidR="0064342D" w:rsidRDefault="0028333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357" w:type="dxa"/>
            <w:vAlign w:val="center"/>
          </w:tcPr>
          <w:p w:rsidR="0064342D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 w:rsidR="0064342D" w:rsidRPr="000D18E3" w:rsidRDefault="00283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зараховано з обов’язковим повторним вивченням дисципліни</w:t>
            </w:r>
          </w:p>
        </w:tc>
      </w:tr>
    </w:tbl>
    <w:p w:rsidR="0064342D" w:rsidRDefault="006434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ПОЛІТИКА </w:t>
      </w: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КУРСУ</w:t>
      </w: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64342D" w:rsidRDefault="0064342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64342D" w:rsidRDefault="002833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64342D" w:rsidRDefault="002833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ання регламентуються «Положенням про організацію освітнього процесу в ОНУ імені І.І. Мечникова» (poloz-org-osvit-process_2022.pdf).</w:t>
      </w:r>
    </w:p>
    <w:p w:rsidR="0064342D" w:rsidRDefault="0064342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 та перескладання</w:t>
      </w:r>
    </w:p>
    <w:p w:rsidR="0064342D" w:rsidRDefault="002833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 w:rsidR="0064342D" w:rsidRDefault="0064342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64342D" w:rsidRDefault="002833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64342D" w:rsidRDefault="002833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Всі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робочі оголошення надсилаються на чат академгрупи у </w:t>
      </w:r>
      <w:r>
        <w:rPr>
          <w:rFonts w:ascii="Times New Roman" w:eastAsia="Calibri" w:hAnsi="Times New Roman" w:cs="Times New Roman"/>
          <w:sz w:val="27"/>
          <w:szCs w:val="27"/>
        </w:rPr>
        <w:t>Vibe</w:t>
      </w:r>
      <w:r>
        <w:rPr>
          <w:rFonts w:ascii="Times New Roman" w:eastAsia="Calibri" w:hAnsi="Times New Roman" w:cs="Times New Roman"/>
          <w:sz w:val="27"/>
          <w:szCs w:val="27"/>
          <w:lang w:val="es-ES"/>
        </w:rPr>
        <w:t>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або телеграм-канал, а також у групі</w:t>
      </w:r>
      <w:r>
        <w:rPr>
          <w:rFonts w:ascii="Times New Roman" w:eastAsia="Calibri" w:hAnsi="Times New Roman" w:cs="Times New Roman"/>
          <w:sz w:val="27"/>
          <w:szCs w:val="27"/>
          <w:lang w:val="es-ES"/>
        </w:rPr>
        <w:t xml:space="preserve"> Skype. 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Студенти мають регулярно перевіряти повідомлення і вчасно на них реагувати.</w:t>
      </w:r>
    </w:p>
    <w:p w:rsidR="0064342D" w:rsidRDefault="0064342D">
      <w:pPr>
        <w:rPr>
          <w:rFonts w:ascii="Times New Roman" w:eastAsia="Calibri" w:hAnsi="Times New Roman" w:cs="Times New Roman"/>
          <w:sz w:val="28"/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lang w:val="ru-RU"/>
        </w:rPr>
      </w:pPr>
    </w:p>
    <w:p w:rsidR="0064342D" w:rsidRDefault="0064342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4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B" w:rsidRDefault="0028333B">
      <w:pPr>
        <w:spacing w:line="240" w:lineRule="auto"/>
      </w:pPr>
      <w:r>
        <w:separator/>
      </w:r>
    </w:p>
  </w:endnote>
  <w:endnote w:type="continuationSeparator" w:id="0">
    <w:p w:rsidR="0028333B" w:rsidRDefault="00283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B" w:rsidRDefault="0028333B">
      <w:pPr>
        <w:spacing w:after="0"/>
      </w:pPr>
      <w:r>
        <w:separator/>
      </w:r>
    </w:p>
  </w:footnote>
  <w:footnote w:type="continuationSeparator" w:id="0">
    <w:p w:rsidR="0028333B" w:rsidRDefault="002833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60E5"/>
    <w:multiLevelType w:val="multilevel"/>
    <w:tmpl w:val="6B0160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C361A70"/>
    <w:multiLevelType w:val="multilevel"/>
    <w:tmpl w:val="6C36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6"/>
    <w:rsid w:val="000D0510"/>
    <w:rsid w:val="000D18E3"/>
    <w:rsid w:val="0028333B"/>
    <w:rsid w:val="0064342D"/>
    <w:rsid w:val="00691296"/>
    <w:rsid w:val="007945DD"/>
    <w:rsid w:val="179E4CF9"/>
    <w:rsid w:val="1BC84034"/>
    <w:rsid w:val="433230F1"/>
    <w:rsid w:val="58AF1D95"/>
    <w:rsid w:val="64AD03EB"/>
    <w:rsid w:val="77D777E8"/>
    <w:rsid w:val="799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30A5-A911-4CE2-83AD-D446C07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3">
    <w:name w:val="Body Text 3"/>
    <w:basedOn w:val="a"/>
    <w:semiHidden/>
    <w:qFormat/>
    <w:pPr>
      <w:tabs>
        <w:tab w:val="left" w:pos="2025"/>
      </w:tabs>
      <w:jc w:val="both"/>
    </w:pPr>
    <w:rPr>
      <w:sz w:val="28"/>
      <w:lang w:val="uk-UA"/>
    </w:rPr>
  </w:style>
  <w:style w:type="paragraph" w:styleId="a4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uk-UA"/>
    </w:rPr>
  </w:style>
  <w:style w:type="paragraph" w:styleId="a5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xfm17244409">
    <w:name w:val="xfm_17244409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olubenko@o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r.tarjum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2023-04-30T10:54:00Z</dcterms:created>
  <dcterms:modified xsi:type="dcterms:W3CDTF">2023-04-30T10:54:00Z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126F59066F19446B853EB6C4EC640233</vt:lpwstr>
  </property>
</Properties>
</file>