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FC273D" w:rsidRDefault="00FC273D" w:rsidP="00FC273D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FC273D" w:rsidTr="00FC273D">
        <w:trPr>
          <w:trHeight w:val="2143"/>
        </w:trPr>
        <w:tc>
          <w:tcPr>
            <w:tcW w:w="2093" w:type="dxa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FC273D" w:rsidRDefault="00FC27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Німецький комунікативний стиль</w:t>
            </w:r>
          </w:p>
          <w:p w:rsidR="00FC273D" w:rsidRDefault="00FC273D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FC273D" w:rsidRDefault="00FC273D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FC273D" w:rsidRDefault="00FC273D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3D" w:rsidRPr="00FC273D" w:rsidRDefault="00FC273D" w:rsidP="00FC273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семестр 1 рік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FC273D" w:rsidRP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FC273D" w:rsidRPr="00FC273D" w:rsidTr="00FC273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FC273D" w:rsidRP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FC273D" w:rsidTr="00FC2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D" w:rsidRDefault="00FC27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FC273D" w:rsidRDefault="00FC273D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/8230077092?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RXBUWURoY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dFUVZIditIVjRpdnBRdz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FC273D" w:rsidRDefault="00FC273D" w:rsidP="00FC27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FC273D" w:rsidRPr="00FC273D" w:rsidRDefault="00FC273D" w:rsidP="00FC27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27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«Німецький комунікативний стиль» є формування та удосконалення мовленнєвої компетентності студентів, а саме підвищення якості практичних навичок та умінь. </w:t>
      </w:r>
    </w:p>
    <w:p w:rsidR="00FC273D" w:rsidRPr="00FC273D" w:rsidRDefault="00FC273D" w:rsidP="00FC27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FC27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«Німецький комунікативний стиль» є такі: розвивати всі складові комунікативної компетенції, вдосконалювати прагматичну компетенцію у всіх видах мовленнєвої діяльності, розвивати та вдосконалювати професійну комунікативну компетенцію на основі базових знань та вмінь, а також усвідомлювати та аналізувати власний навчальний та професійний досвід, вдосконалювати соціокультурні компетенції студентів шляхом всебічної 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підтримки готовності студентів вивчати, використовувати німецьку мову, різноманітні аспекти соціального та культурного життя німецькомовних країн, вдосконалювати лінгвістичну компетенцію через міждисциплінарні зв’язки із філологічними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перекладознавчими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дисциплінами, що вивчаються протягом першого року навчання.</w:t>
      </w:r>
    </w:p>
    <w:p w:rsidR="00FC273D" w:rsidRDefault="00FC273D" w:rsidP="00FC273D">
      <w:pPr>
        <w:spacing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</w:p>
    <w:p w:rsidR="00FC273D" w:rsidRPr="00FC273D" w:rsidRDefault="00FC273D" w:rsidP="00FC273D">
      <w:pPr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FC273D" w:rsidRPr="00FC273D" w:rsidRDefault="00FC273D" w:rsidP="00FC273D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знати: основні правила функціонування лексичної та граматичної підсистеми німецької мови; стилістичні особливості німецької мови; комунікативно-логічну структуру висловлювань та засобів її відтворення німецькою мовою;</w:t>
      </w:r>
    </w:p>
    <w:p w:rsidR="00FC273D" w:rsidRDefault="00FC273D" w:rsidP="00FC273D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вміти: 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вичерпно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висловлюватися  щодо складних тем  та ситуацій; будувати висловлювання граматично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коректно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застосовувати різноманітні структурні та інтонаційні моделі; використовувати широкий спектр мовленнєвих засобів, в тому числі ідіом, слів та виразів, характерних для розмовної мови;  висловлювати   свої думки спонтанно та вільно, не відчуваючи часто очевидну потребу добору слів;  обирати  адекватні ситуації та  стиль слова, вирази, застосовувати  різні синтаксичні засоби.</w:t>
      </w:r>
    </w:p>
    <w:p w:rsidR="00FC273D" w:rsidRDefault="00FC273D" w:rsidP="00FC273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FC273D" w:rsidRPr="00FC273D" w:rsidRDefault="00FC273D" w:rsidP="00FC273D">
      <w:pPr>
        <w:pStyle w:val="1"/>
        <w:spacing w:line="276" w:lineRule="auto"/>
        <w:ind w:left="799"/>
        <w:jc w:val="center"/>
        <w:rPr>
          <w:b w:val="0"/>
        </w:rPr>
      </w:pPr>
      <w:r w:rsidRPr="00FC273D">
        <w:t xml:space="preserve">Змістовий модуль 1. </w:t>
      </w:r>
      <w:r w:rsidRPr="00FC273D">
        <w:rPr>
          <w:b w:val="0"/>
        </w:rPr>
        <w:t>Теорія комунікативного стилю в системі наук про людину. Вербальне та невербальне вираження національних особливостей.</w:t>
      </w:r>
    </w:p>
    <w:p w:rsidR="00FC273D" w:rsidRPr="00FC273D" w:rsidRDefault="00FC273D" w:rsidP="00FC27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комунікативного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стилю як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майстерність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Стиль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напрямки та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комунікативного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стилю.</w:t>
      </w:r>
    </w:p>
    <w:p w:rsidR="00FC273D" w:rsidRPr="00FC273D" w:rsidRDefault="00FC273D" w:rsidP="00FC27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sz w:val="28"/>
          <w:szCs w:val="28"/>
          <w:lang w:val="ru-RU"/>
        </w:rPr>
        <w:t>Тема 2</w:t>
      </w:r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вербальної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невербальної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вербального та невербального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Лексична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конотація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культурі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Безеквівалентна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лексика та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фонові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273D" w:rsidRPr="00FC273D" w:rsidRDefault="00FC273D" w:rsidP="00FC27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3. </w:t>
      </w:r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Причини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комунікативних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бар’єрів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комунікативних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бар’єрів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Модель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Паралінгвальні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. Роль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паралінгвальних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273D" w:rsidRPr="00FC273D" w:rsidRDefault="00FC273D" w:rsidP="00FC273D">
      <w:pPr>
        <w:spacing w:line="276" w:lineRule="auto"/>
        <w:ind w:left="79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C273D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FC27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Типологічні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2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273D" w:rsidRPr="00FC273D" w:rsidRDefault="00FC273D" w:rsidP="00FC273D">
      <w:pPr>
        <w:spacing w:before="4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Діалог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параметри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діалогу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Порівняльна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характеристика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німецькомовних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стратегій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контакту</w:t>
      </w:r>
      <w:proofErr w:type="gram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представниками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культур.</w:t>
      </w:r>
    </w:p>
    <w:p w:rsidR="00FC273D" w:rsidRPr="00FC273D" w:rsidRDefault="00FC273D" w:rsidP="00FC273D">
      <w:pPr>
        <w:spacing w:before="4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5.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представників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німецькомовних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культур. Характеристика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вмінь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правильно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інтерпретувати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представника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інсоціуму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готовність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прийняття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відмінностей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варіювання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висококонтекстних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низькоконтекстних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культур.</w:t>
      </w:r>
    </w:p>
    <w:p w:rsidR="00FC273D" w:rsidRPr="00FC273D" w:rsidRDefault="00FC273D" w:rsidP="00FC273D">
      <w:pPr>
        <w:spacing w:before="4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27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6.</w:t>
      </w:r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ділової</w:t>
      </w:r>
      <w:proofErr w:type="spellEnd"/>
      <w:proofErr w:type="gram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специфіки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спільноти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діловому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німецькомовній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лінгвокультурі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Втрати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FC27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4410BE" w:rsidRPr="004410BE" w:rsidRDefault="004410BE" w:rsidP="004410BE">
      <w:pPr>
        <w:spacing w:before="6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розповідь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бесіда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виступи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доповідями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обговорення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4410BE" w:rsidRPr="004410BE" w:rsidRDefault="004410BE" w:rsidP="004410BE">
      <w:pPr>
        <w:spacing w:before="6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наочні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ілюстрація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мультимедійні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презентації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демонстрація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презентація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власних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273D" w:rsidRPr="004410BE" w:rsidRDefault="004410BE" w:rsidP="004410BE">
      <w:pPr>
        <w:spacing w:before="6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вправи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презентацій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вправи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C273D" w:rsidRPr="004410BE" w:rsidRDefault="00FC273D" w:rsidP="00FC273D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4410BE"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E">
        <w:rPr>
          <w:rFonts w:ascii="Times New Roman" w:hAnsi="Times New Roman" w:cs="Times New Roman"/>
          <w:sz w:val="28"/>
          <w:szCs w:val="28"/>
          <w:lang w:val="ru-RU"/>
        </w:rPr>
        <w:t>1. Авраменко О.</w:t>
      </w:r>
      <w:r w:rsidRPr="004410B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О.,</w:t>
      </w:r>
      <w:r w:rsidRPr="004410B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Яковенко</w:t>
      </w:r>
      <w:r w:rsidRPr="004410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4410B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В.,</w:t>
      </w:r>
      <w:r w:rsidRPr="004410B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Шийка</w:t>
      </w:r>
      <w:proofErr w:type="spellEnd"/>
      <w:r w:rsidRPr="004410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410B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410BE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Ділове</w:t>
      </w:r>
      <w:proofErr w:type="spellEnd"/>
      <w:r w:rsidRPr="004410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proofErr w:type="gram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наук</w:t>
      </w:r>
      <w:proofErr w:type="gram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ред.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4410B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Авраменко.</w:t>
      </w:r>
      <w:r w:rsidRPr="004410BE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Івано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410BE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Франківськ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410B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Лілея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-НВ»,</w:t>
      </w:r>
      <w:r w:rsidRPr="004410B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2015.</w:t>
      </w:r>
      <w:r w:rsidRPr="004410BE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       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160</w:t>
      </w:r>
      <w:r w:rsidRPr="004410BE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 xml:space="preserve">2. Комунікативно-прагматичні аспекти мовлення : конспект лекцій для студентів факультету лінгвістики напряму підготовки 6.020303 «Філологія» / уклад.                   </w:t>
      </w:r>
      <w:r w:rsidRPr="004410BE">
        <w:rPr>
          <w:sz w:val="28"/>
          <w:szCs w:val="28"/>
          <w:lang w:val="ru-RU"/>
        </w:rPr>
        <w:t xml:space="preserve"> </w:t>
      </w:r>
      <w:r w:rsidRPr="004410BE">
        <w:rPr>
          <w:sz w:val="28"/>
          <w:szCs w:val="28"/>
        </w:rPr>
        <w:t xml:space="preserve">О.В. </w:t>
      </w:r>
      <w:proofErr w:type="spellStart"/>
      <w:r w:rsidRPr="004410BE">
        <w:rPr>
          <w:sz w:val="28"/>
          <w:szCs w:val="28"/>
        </w:rPr>
        <w:t>Дзикович</w:t>
      </w:r>
      <w:proofErr w:type="spellEnd"/>
      <w:r w:rsidRPr="004410BE">
        <w:rPr>
          <w:sz w:val="28"/>
          <w:szCs w:val="28"/>
        </w:rPr>
        <w:t>. Київ: НТУУ «КПІ», 2015. 85 с.</w:t>
      </w:r>
    </w:p>
    <w:p w:rsidR="004410BE" w:rsidRPr="004410BE" w:rsidRDefault="004410BE" w:rsidP="004410BE">
      <w:pPr>
        <w:pStyle w:val="a4"/>
        <w:jc w:val="both"/>
      </w:pPr>
      <w:r w:rsidRPr="004410BE">
        <w:rPr>
          <w:sz w:val="28"/>
          <w:szCs w:val="28"/>
        </w:rPr>
        <w:t>3.</w:t>
      </w:r>
      <w:r w:rsidRPr="004410BE">
        <w:t xml:space="preserve"> </w:t>
      </w:r>
      <w:proofErr w:type="spellStart"/>
      <w:r w:rsidRPr="004410BE">
        <w:rPr>
          <w:sz w:val="28"/>
          <w:szCs w:val="28"/>
        </w:rPr>
        <w:t>Підгородецька</w:t>
      </w:r>
      <w:proofErr w:type="spellEnd"/>
      <w:r w:rsidRPr="004410BE">
        <w:rPr>
          <w:sz w:val="28"/>
          <w:szCs w:val="28"/>
        </w:rPr>
        <w:t xml:space="preserve"> І. Ю. Міжкультурна комунікація: невербальний аспект /                  </w:t>
      </w:r>
      <w:proofErr w:type="spellStart"/>
      <w:r w:rsidRPr="004410BE">
        <w:rPr>
          <w:sz w:val="28"/>
          <w:szCs w:val="28"/>
        </w:rPr>
        <w:t>Virtus</w:t>
      </w:r>
      <w:proofErr w:type="spellEnd"/>
      <w:r w:rsidRPr="004410BE">
        <w:rPr>
          <w:sz w:val="28"/>
          <w:szCs w:val="28"/>
        </w:rPr>
        <w:t xml:space="preserve">: </w:t>
      </w:r>
      <w:proofErr w:type="spellStart"/>
      <w:r w:rsidRPr="004410BE">
        <w:rPr>
          <w:sz w:val="28"/>
          <w:szCs w:val="28"/>
        </w:rPr>
        <w:t>Scientific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Journal</w:t>
      </w:r>
      <w:proofErr w:type="spellEnd"/>
      <w:r w:rsidRPr="004410BE">
        <w:rPr>
          <w:sz w:val="28"/>
          <w:szCs w:val="28"/>
        </w:rPr>
        <w:t xml:space="preserve"> / </w:t>
      </w:r>
      <w:proofErr w:type="spellStart"/>
      <w:r w:rsidRPr="004410BE">
        <w:rPr>
          <w:sz w:val="28"/>
          <w:szCs w:val="28"/>
        </w:rPr>
        <w:t>Editorin-Chif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M.A.Zhurba</w:t>
      </w:r>
      <w:proofErr w:type="spellEnd"/>
      <w:r w:rsidRPr="004410BE">
        <w:rPr>
          <w:sz w:val="28"/>
          <w:szCs w:val="28"/>
        </w:rPr>
        <w:t>. 2017. № 14.  С. 162-165.</w:t>
      </w:r>
      <w:r w:rsidRPr="004410BE">
        <w:t xml:space="preserve"> 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>4</w:t>
      </w:r>
      <w:r w:rsidRPr="004410BE">
        <w:t xml:space="preserve">. </w:t>
      </w:r>
      <w:r w:rsidRPr="004410BE">
        <w:rPr>
          <w:sz w:val="28"/>
          <w:szCs w:val="28"/>
        </w:rPr>
        <w:t>Слободянюк А. В., Андрущенко Н. О. Психологія управління та конфліктологія : навчальний посібник для практичних та семінарських занять . Вінниця : ВНТУ, 2010. 120 с.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 xml:space="preserve">5. Степаненко О.К. Мовленнєва компетенція </w:t>
      </w:r>
      <w:proofErr w:type="spellStart"/>
      <w:r w:rsidRPr="004410BE">
        <w:rPr>
          <w:sz w:val="28"/>
          <w:szCs w:val="28"/>
        </w:rPr>
        <w:t>професійно</w:t>
      </w:r>
      <w:proofErr w:type="spellEnd"/>
      <w:r w:rsidRPr="004410BE">
        <w:rPr>
          <w:sz w:val="28"/>
          <w:szCs w:val="28"/>
        </w:rPr>
        <w:t xml:space="preserve"> - орієнтованої особистості: посібник. Дніпропетровськ: Акцент ПП, 2016. 72 с. 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 xml:space="preserve">6. Щербина В. Проблема міжкультурної комунікації в сучасному гуманітарному знанні /  Культурологічна думка. 2014.  №7.  С. 173-178. 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 xml:space="preserve">7. </w:t>
      </w:r>
      <w:proofErr w:type="spellStart"/>
      <w:r w:rsidRPr="004410BE">
        <w:rPr>
          <w:sz w:val="28"/>
          <w:szCs w:val="28"/>
        </w:rPr>
        <w:t>Winkler</w:t>
      </w:r>
      <w:proofErr w:type="spellEnd"/>
      <w:r w:rsidRPr="004410BE">
        <w:rPr>
          <w:sz w:val="28"/>
          <w:szCs w:val="28"/>
        </w:rPr>
        <w:t xml:space="preserve"> E. </w:t>
      </w:r>
      <w:proofErr w:type="spellStart"/>
      <w:r w:rsidRPr="004410BE">
        <w:rPr>
          <w:sz w:val="28"/>
          <w:szCs w:val="28"/>
        </w:rPr>
        <w:t>Linguistische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Analyse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kommunikativer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Strategien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zur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Erzeugung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von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Intimität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in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Interviewgesprächen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des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Österreichischen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Rundfunks</w:t>
      </w:r>
      <w:proofErr w:type="spellEnd"/>
      <w:r w:rsidRPr="004410BE">
        <w:rPr>
          <w:sz w:val="28"/>
          <w:szCs w:val="28"/>
        </w:rPr>
        <w:t xml:space="preserve"> / </w:t>
      </w:r>
      <w:proofErr w:type="spellStart"/>
      <w:r w:rsidRPr="004410BE">
        <w:rPr>
          <w:sz w:val="28"/>
          <w:szCs w:val="28"/>
        </w:rPr>
        <w:t>Eva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Winkler</w:t>
      </w:r>
      <w:proofErr w:type="spellEnd"/>
      <w:r w:rsidRPr="004410BE">
        <w:rPr>
          <w:sz w:val="28"/>
          <w:szCs w:val="28"/>
        </w:rPr>
        <w:t xml:space="preserve">. </w:t>
      </w:r>
      <w:proofErr w:type="spellStart"/>
      <w:r w:rsidRPr="004410BE">
        <w:rPr>
          <w:sz w:val="28"/>
          <w:szCs w:val="28"/>
        </w:rPr>
        <w:t>Frankfurt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am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Main</w:t>
      </w:r>
      <w:proofErr w:type="spellEnd"/>
      <w:r w:rsidRPr="004410BE">
        <w:rPr>
          <w:sz w:val="28"/>
          <w:szCs w:val="28"/>
        </w:rPr>
        <w:t xml:space="preserve">, 2011. </w:t>
      </w:r>
      <w:r w:rsidRPr="004410BE">
        <w:rPr>
          <w:sz w:val="28"/>
          <w:szCs w:val="28"/>
          <w:lang w:val="en-US"/>
        </w:rPr>
        <w:t>S</w:t>
      </w:r>
      <w:r w:rsidRPr="004410BE">
        <w:rPr>
          <w:sz w:val="28"/>
          <w:szCs w:val="28"/>
        </w:rPr>
        <w:t>. 243.</w:t>
      </w:r>
    </w:p>
    <w:p w:rsidR="004410BE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>8.</w:t>
      </w:r>
      <w:r w:rsidRPr="004410BE">
        <w:t xml:space="preserve"> </w:t>
      </w:r>
      <w:proofErr w:type="spellStart"/>
      <w:r w:rsidRPr="004410BE">
        <w:rPr>
          <w:sz w:val="28"/>
          <w:szCs w:val="28"/>
        </w:rPr>
        <w:t>Zastrovska</w:t>
      </w:r>
      <w:proofErr w:type="spellEnd"/>
      <w:r w:rsidRPr="004410BE">
        <w:rPr>
          <w:sz w:val="28"/>
          <w:szCs w:val="28"/>
        </w:rPr>
        <w:t>, S. O. “</w:t>
      </w:r>
      <w:proofErr w:type="spellStart"/>
      <w:r w:rsidRPr="004410BE">
        <w:rPr>
          <w:sz w:val="28"/>
          <w:szCs w:val="28"/>
        </w:rPr>
        <w:t>Terminolohichna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Polifonia</w:t>
      </w:r>
      <w:proofErr w:type="spellEnd"/>
      <w:r w:rsidRPr="004410BE">
        <w:rPr>
          <w:sz w:val="28"/>
          <w:szCs w:val="28"/>
        </w:rPr>
        <w:t xml:space="preserve"> u </w:t>
      </w:r>
      <w:proofErr w:type="spellStart"/>
      <w:r w:rsidRPr="004410BE">
        <w:rPr>
          <w:sz w:val="28"/>
          <w:szCs w:val="28"/>
        </w:rPr>
        <w:t>Doslidzenniakh</w:t>
      </w:r>
      <w:proofErr w:type="spellEnd"/>
      <w:r w:rsidRPr="004410BE">
        <w:rPr>
          <w:sz w:val="28"/>
          <w:szCs w:val="28"/>
        </w:rPr>
        <w:t xml:space="preserve"> z </w:t>
      </w:r>
      <w:proofErr w:type="spellStart"/>
      <w:r w:rsidRPr="004410BE">
        <w:rPr>
          <w:sz w:val="28"/>
          <w:szCs w:val="28"/>
        </w:rPr>
        <w:t>Kommunikatyvnoi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Linhvistyky</w:t>
      </w:r>
      <w:proofErr w:type="spellEnd"/>
      <w:r w:rsidRPr="004410BE">
        <w:rPr>
          <w:sz w:val="28"/>
          <w:szCs w:val="28"/>
        </w:rPr>
        <w:t xml:space="preserve">”. </w:t>
      </w:r>
      <w:proofErr w:type="spellStart"/>
      <w:r w:rsidRPr="004410BE">
        <w:rPr>
          <w:sz w:val="28"/>
          <w:szCs w:val="28"/>
        </w:rPr>
        <w:t>Aktualni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Problemy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Inozemnoi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Filolohii</w:t>
      </w:r>
      <w:proofErr w:type="spellEnd"/>
      <w:r w:rsidRPr="004410BE">
        <w:rPr>
          <w:sz w:val="28"/>
          <w:szCs w:val="28"/>
        </w:rPr>
        <w:t xml:space="preserve"> : </w:t>
      </w:r>
      <w:proofErr w:type="spellStart"/>
      <w:r w:rsidRPr="004410BE">
        <w:rPr>
          <w:sz w:val="28"/>
          <w:szCs w:val="28"/>
        </w:rPr>
        <w:t>Linhvistyka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ta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Literaturoznavstv</w:t>
      </w:r>
      <w:proofErr w:type="spellEnd"/>
      <w:r w:rsidRPr="004410BE">
        <w:rPr>
          <w:sz w:val="28"/>
          <w:szCs w:val="28"/>
        </w:rPr>
        <w:t xml:space="preserve">.       S. 105–111. </w:t>
      </w:r>
    </w:p>
    <w:p w:rsidR="00FC273D" w:rsidRDefault="00FC273D" w:rsidP="00FC273D">
      <w:pPr>
        <w:spacing w:before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:rsidR="004410BE" w:rsidRPr="004410BE" w:rsidRDefault="004410BE" w:rsidP="004410BE">
      <w:pPr>
        <w:tabs>
          <w:tab w:val="left" w:pos="477"/>
        </w:tabs>
        <w:autoSpaceDE w:val="0"/>
        <w:autoSpaceDN w:val="0"/>
        <w:spacing w:before="1"/>
        <w:ind w:right="2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10BE">
        <w:rPr>
          <w:rFonts w:ascii="Times New Roman" w:hAnsi="Times New Roman" w:cs="Times New Roman"/>
          <w:sz w:val="28"/>
          <w:lang w:val="uk-UA"/>
        </w:rPr>
        <w:t xml:space="preserve"> Михайлова</w:t>
      </w:r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І.В.</w:t>
      </w:r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</w:rPr>
        <w:t>Typisch</w:t>
      </w:r>
      <w:proofErr w:type="spellEnd"/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</w:rPr>
        <w:t>Deutschland</w:t>
      </w:r>
      <w:r w:rsidRPr="004410BE">
        <w:rPr>
          <w:rFonts w:ascii="Times New Roman" w:hAnsi="Times New Roman" w:cs="Times New Roman"/>
          <w:sz w:val="28"/>
          <w:lang w:val="uk-UA"/>
        </w:rPr>
        <w:t>.</w:t>
      </w:r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</w:rPr>
        <w:t>Landeskundliche</w:t>
      </w:r>
      <w:proofErr w:type="spellEnd"/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</w:rPr>
        <w:t>Materialien</w:t>
      </w:r>
      <w:proofErr w:type="spellEnd"/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(Типова</w:t>
      </w:r>
      <w:r w:rsidRPr="004410BE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Німеччина.</w:t>
      </w:r>
      <w:r w:rsidRPr="004410BE">
        <w:rPr>
          <w:rFonts w:ascii="Times New Roman" w:hAnsi="Times New Roman" w:cs="Times New Roman"/>
          <w:spacing w:val="59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Країнознавчі</w:t>
      </w:r>
      <w:r w:rsidRPr="004410BE">
        <w:rPr>
          <w:rFonts w:ascii="Times New Roman" w:hAnsi="Times New Roman" w:cs="Times New Roman"/>
          <w:spacing w:val="61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матеріали):</w:t>
      </w:r>
      <w:r w:rsidRPr="004410BE">
        <w:rPr>
          <w:rFonts w:ascii="Times New Roman" w:hAnsi="Times New Roman" w:cs="Times New Roman"/>
          <w:spacing w:val="58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Навчально-методичний</w:t>
      </w:r>
      <w:r w:rsidRPr="004410BE">
        <w:rPr>
          <w:rFonts w:ascii="Times New Roman" w:hAnsi="Times New Roman" w:cs="Times New Roman"/>
          <w:spacing w:val="58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посібник</w:t>
      </w:r>
      <w:r w:rsidRPr="004410BE">
        <w:rPr>
          <w:rFonts w:ascii="Times New Roman" w:hAnsi="Times New Roman" w:cs="Times New Roman"/>
          <w:spacing w:val="58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>до</w:t>
      </w:r>
      <w:r w:rsidRPr="004410BE">
        <w:rPr>
          <w:rFonts w:ascii="Times New Roman" w:hAnsi="Times New Roman" w:cs="Times New Roman"/>
          <w:spacing w:val="62"/>
          <w:sz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lang w:val="uk-UA"/>
        </w:rPr>
        <w:t xml:space="preserve">курсу </w:t>
      </w:r>
      <w:r w:rsidRPr="004410BE">
        <w:rPr>
          <w:rFonts w:ascii="Times New Roman" w:hAnsi="Times New Roman" w:cs="Times New Roman"/>
          <w:sz w:val="28"/>
          <w:szCs w:val="28"/>
          <w:lang w:val="uk-UA"/>
        </w:rPr>
        <w:t>«Країнознавство (німецька мова</w:t>
      </w:r>
      <w:proofErr w:type="gramStart"/>
      <w:r w:rsidRPr="004410BE">
        <w:rPr>
          <w:rFonts w:ascii="Times New Roman" w:hAnsi="Times New Roman" w:cs="Times New Roman"/>
          <w:sz w:val="28"/>
          <w:szCs w:val="28"/>
          <w:lang w:val="uk-UA"/>
        </w:rPr>
        <w:t>)»</w:t>
      </w:r>
      <w:proofErr w:type="gramEnd"/>
      <w:r w:rsidRPr="004410BE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спеціальності 6.020303 «Мова і</w:t>
      </w:r>
      <w:r w:rsidRPr="004410B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uk-UA"/>
        </w:rPr>
        <w:t>література»</w:t>
      </w:r>
      <w:r w:rsidRPr="004410B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uk-UA"/>
        </w:rPr>
        <w:t>(німецька).</w:t>
      </w:r>
      <w:r w:rsidRPr="004410B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: НПУ</w:t>
      </w:r>
      <w:r w:rsidRPr="004410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М.П.</w:t>
      </w:r>
      <w:r w:rsidRPr="004410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410B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2015. 185</w:t>
      </w:r>
      <w:r w:rsidRPr="004410B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4410BE" w:rsidRPr="004410BE" w:rsidRDefault="004410BE" w:rsidP="004410BE">
      <w:pPr>
        <w:tabs>
          <w:tab w:val="left" w:pos="477"/>
        </w:tabs>
        <w:autoSpaceDE w:val="0"/>
        <w:autoSpaceDN w:val="0"/>
        <w:spacing w:before="1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4410B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410B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Форманова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С.В.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Конфліктний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дискурс у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комунікативно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-прагматичному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Франка.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lastRenderedPageBreak/>
        <w:t>філологічна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. 52.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Львівський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. І. Франка, 2011. </w:t>
      </w:r>
      <w:proofErr w:type="gramStart"/>
      <w:r w:rsidRPr="004410BE">
        <w:rPr>
          <w:rFonts w:ascii="Times New Roman" w:hAnsi="Times New Roman" w:cs="Times New Roman"/>
          <w:sz w:val="28"/>
          <w:szCs w:val="28"/>
        </w:rPr>
        <w:t>С. 220</w:t>
      </w:r>
      <w:proofErr w:type="gramEnd"/>
      <w:r w:rsidRPr="004410BE">
        <w:rPr>
          <w:rFonts w:ascii="Times New Roman" w:hAnsi="Times New Roman" w:cs="Times New Roman"/>
          <w:sz w:val="28"/>
          <w:szCs w:val="28"/>
        </w:rPr>
        <w:t>-225.</w:t>
      </w:r>
    </w:p>
    <w:p w:rsidR="00FC273D" w:rsidRPr="004410BE" w:rsidRDefault="004410BE" w:rsidP="004410BE">
      <w:pPr>
        <w:pStyle w:val="a4"/>
        <w:jc w:val="both"/>
        <w:rPr>
          <w:sz w:val="28"/>
          <w:szCs w:val="28"/>
        </w:rPr>
      </w:pPr>
      <w:r w:rsidRPr="004410BE">
        <w:rPr>
          <w:sz w:val="28"/>
          <w:szCs w:val="28"/>
        </w:rPr>
        <w:t xml:space="preserve">3. </w:t>
      </w:r>
      <w:proofErr w:type="spellStart"/>
      <w:r w:rsidRPr="004410BE">
        <w:rPr>
          <w:sz w:val="28"/>
          <w:szCs w:val="28"/>
        </w:rPr>
        <w:t>Franz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Specht</w:t>
      </w:r>
      <w:proofErr w:type="spellEnd"/>
      <w:r w:rsidRPr="004410BE">
        <w:rPr>
          <w:sz w:val="28"/>
          <w:szCs w:val="28"/>
        </w:rPr>
        <w:t xml:space="preserve">. </w:t>
      </w:r>
      <w:proofErr w:type="spellStart"/>
      <w:r w:rsidRPr="004410BE">
        <w:rPr>
          <w:sz w:val="28"/>
          <w:szCs w:val="28"/>
        </w:rPr>
        <w:t>Zwischendurch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mal</w:t>
      </w:r>
      <w:proofErr w:type="spellEnd"/>
      <w:r w:rsidRPr="004410BE">
        <w:rPr>
          <w:sz w:val="28"/>
          <w:szCs w:val="28"/>
        </w:rPr>
        <w:t>…</w:t>
      </w:r>
      <w:proofErr w:type="spellStart"/>
      <w:r w:rsidRPr="004410BE">
        <w:rPr>
          <w:sz w:val="28"/>
          <w:szCs w:val="28"/>
        </w:rPr>
        <w:t>Landeskunde</w:t>
      </w:r>
      <w:proofErr w:type="spellEnd"/>
      <w:r w:rsidRPr="004410BE">
        <w:rPr>
          <w:sz w:val="28"/>
          <w:szCs w:val="28"/>
        </w:rPr>
        <w:t xml:space="preserve">. </w:t>
      </w:r>
      <w:proofErr w:type="spellStart"/>
      <w:r w:rsidRPr="004410BE">
        <w:rPr>
          <w:sz w:val="28"/>
          <w:szCs w:val="28"/>
        </w:rPr>
        <w:t>Deutsch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als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Fremdsprache</w:t>
      </w:r>
      <w:proofErr w:type="spellEnd"/>
      <w:r w:rsidRPr="004410BE">
        <w:rPr>
          <w:sz w:val="28"/>
          <w:szCs w:val="28"/>
        </w:rPr>
        <w:t xml:space="preserve">. </w:t>
      </w:r>
      <w:proofErr w:type="spellStart"/>
      <w:r w:rsidRPr="004410BE">
        <w:rPr>
          <w:sz w:val="28"/>
          <w:szCs w:val="28"/>
        </w:rPr>
        <w:t>München</w:t>
      </w:r>
      <w:proofErr w:type="spellEnd"/>
      <w:r w:rsidRPr="004410BE">
        <w:rPr>
          <w:sz w:val="28"/>
          <w:szCs w:val="28"/>
        </w:rPr>
        <w:t xml:space="preserve">: </w:t>
      </w:r>
      <w:proofErr w:type="spellStart"/>
      <w:r w:rsidRPr="004410BE">
        <w:rPr>
          <w:sz w:val="28"/>
          <w:szCs w:val="28"/>
        </w:rPr>
        <w:t>Hueber</w:t>
      </w:r>
      <w:proofErr w:type="spellEnd"/>
      <w:r w:rsidRPr="004410BE">
        <w:rPr>
          <w:sz w:val="28"/>
          <w:szCs w:val="28"/>
        </w:rPr>
        <w:t xml:space="preserve"> </w:t>
      </w:r>
      <w:proofErr w:type="spellStart"/>
      <w:r w:rsidRPr="004410BE">
        <w:rPr>
          <w:sz w:val="28"/>
          <w:szCs w:val="28"/>
        </w:rPr>
        <w:t>Verlag</w:t>
      </w:r>
      <w:proofErr w:type="spellEnd"/>
      <w:r w:rsidRPr="004410BE">
        <w:rPr>
          <w:sz w:val="28"/>
          <w:szCs w:val="28"/>
        </w:rPr>
        <w:t xml:space="preserve">. 2012. </w:t>
      </w:r>
      <w:r w:rsidRPr="004410BE">
        <w:rPr>
          <w:sz w:val="28"/>
          <w:szCs w:val="28"/>
          <w:lang w:val="en-US"/>
        </w:rPr>
        <w:t>S</w:t>
      </w:r>
      <w:r w:rsidRPr="004410BE">
        <w:rPr>
          <w:sz w:val="28"/>
          <w:szCs w:val="28"/>
        </w:rPr>
        <w:t>. 102.</w:t>
      </w:r>
    </w:p>
    <w:p w:rsidR="00FC273D" w:rsidRDefault="00FC273D" w:rsidP="00FC273D">
      <w:pPr>
        <w:pStyle w:val="a5"/>
        <w:tabs>
          <w:tab w:val="left" w:pos="284"/>
        </w:tabs>
        <w:ind w:left="25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E">
        <w:rPr>
          <w:rFonts w:ascii="Times New Roman" w:hAnsi="Times New Roman" w:cs="Times New Roman"/>
          <w:sz w:val="28"/>
          <w:szCs w:val="28"/>
        </w:rPr>
        <w:t>DUDEN online-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wörterbuch</w:t>
      </w:r>
      <w:proofErr w:type="spellEnd"/>
      <w:r w:rsidRPr="004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</w:rPr>
      </w:pPr>
      <w:r w:rsidRPr="004410B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4410BE">
          <w:rPr>
            <w:rStyle w:val="a3"/>
            <w:rFonts w:ascii="Times New Roman" w:hAnsi="Times New Roman" w:cs="Times New Roman"/>
            <w:sz w:val="28"/>
            <w:szCs w:val="28"/>
          </w:rPr>
          <w:t>https://www.duden.de/</w:t>
        </w:r>
      </w:hyperlink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0BE">
        <w:rPr>
          <w:rFonts w:ascii="Times New Roman" w:hAnsi="Times New Roman" w:cs="Times New Roman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ОНУ:</w:t>
      </w:r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каталог НБ ОНУ: </w:t>
      </w:r>
    </w:p>
    <w:p w:rsidR="004410BE" w:rsidRPr="004410BE" w:rsidRDefault="004410BE" w:rsidP="004410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0BE">
        <w:rPr>
          <w:rFonts w:ascii="Times New Roman" w:hAnsi="Times New Roman" w:cs="Times New Roman"/>
          <w:sz w:val="28"/>
          <w:szCs w:val="28"/>
        </w:rPr>
        <w:t>URL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410BE">
        <w:rPr>
          <w:rFonts w:ascii="Times New Roman" w:hAnsi="Times New Roman" w:cs="Times New Roman"/>
          <w:sz w:val="28"/>
          <w:szCs w:val="28"/>
        </w:rPr>
        <w:t>http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410BE">
        <w:rPr>
          <w:rFonts w:ascii="Times New Roman" w:hAnsi="Times New Roman" w:cs="Times New Roman"/>
          <w:sz w:val="28"/>
          <w:szCs w:val="28"/>
        </w:rPr>
        <w:t>lib</w:t>
      </w:r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elektronnyj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katalog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/  </w:t>
      </w:r>
    </w:p>
    <w:p w:rsidR="004410BE" w:rsidRPr="004410BE" w:rsidRDefault="004410BE" w:rsidP="004410BE">
      <w:pPr>
        <w:tabs>
          <w:tab w:val="left" w:pos="621"/>
        </w:tabs>
        <w:autoSpaceDE w:val="0"/>
        <w:autoSpaceDN w:val="0"/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0BE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Netzwerk</w:t>
      </w:r>
      <w:proofErr w:type="spellEnd"/>
      <w:r w:rsidRPr="004410BE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4410BE">
        <w:rPr>
          <w:rFonts w:ascii="Times New Roman" w:hAnsi="Times New Roman" w:cs="Times New Roman"/>
          <w:sz w:val="28"/>
          <w:szCs w:val="28"/>
        </w:rPr>
        <w:t>Bildungsexperten</w:t>
      </w:r>
      <w:proofErr w:type="spellEnd"/>
    </w:p>
    <w:p w:rsidR="004410BE" w:rsidRPr="004410BE" w:rsidRDefault="004410BE" w:rsidP="004410BE">
      <w:pPr>
        <w:tabs>
          <w:tab w:val="left" w:pos="621"/>
        </w:tabs>
        <w:autoSpaceDE w:val="0"/>
        <w:autoSpaceDN w:val="0"/>
        <w:ind w:right="493"/>
        <w:jc w:val="both"/>
        <w:rPr>
          <w:rFonts w:ascii="Times New Roman" w:hAnsi="Times New Roman" w:cs="Times New Roman"/>
          <w:sz w:val="28"/>
          <w:szCs w:val="28"/>
        </w:rPr>
      </w:pPr>
      <w:r w:rsidRPr="004410BE">
        <w:rPr>
          <w:rFonts w:ascii="Times New Roman" w:hAnsi="Times New Roman" w:cs="Times New Roman"/>
          <w:sz w:val="28"/>
          <w:szCs w:val="28"/>
        </w:rPr>
        <w:t>URL</w:t>
      </w:r>
      <w:proofErr w:type="gramStart"/>
      <w:r w:rsidRPr="004410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10BE">
        <w:rPr>
          <w:rFonts w:ascii="Times New Roman" w:hAnsi="Times New Roman" w:cs="Times New Roman"/>
        </w:rPr>
        <w:fldChar w:fldCharType="begin"/>
      </w:r>
      <w:r w:rsidRPr="004410BE">
        <w:rPr>
          <w:rFonts w:ascii="Times New Roman" w:hAnsi="Times New Roman" w:cs="Times New Roman"/>
        </w:rPr>
        <w:instrText xml:space="preserve"> HYPERLINK "https://www.bildungsxperten.net/wissen/das-schulsystem-in-deutschland-funktionen-und-aufgaben/" </w:instrText>
      </w:r>
      <w:r w:rsidRPr="004410BE">
        <w:rPr>
          <w:rFonts w:ascii="Times New Roman" w:hAnsi="Times New Roman" w:cs="Times New Roman"/>
        </w:rPr>
        <w:fldChar w:fldCharType="separate"/>
      </w:r>
      <w:r w:rsidRPr="004410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https://www.bildungsxperten.net/wissen/das-schulsystem-in-deutschland-funktionen-</w:t>
      </w:r>
      <w:r w:rsidRPr="004410BE">
        <w:rPr>
          <w:rFonts w:ascii="Times New Roman" w:hAnsi="Times New Roman" w:cs="Times New Roman"/>
        </w:rPr>
        <w:fldChar w:fldCharType="end"/>
      </w:r>
      <w:hyperlink r:id="rId8" w:history="1">
        <w:r w:rsidRPr="004410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und-aufgaben/</w:t>
        </w:r>
      </w:hyperlink>
      <w:r w:rsidRPr="004410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273D" w:rsidRDefault="00FC273D" w:rsidP="00FC27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4410BE" w:rsidRPr="004410BE" w:rsidRDefault="004410BE" w:rsidP="004410BE">
      <w:pPr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бланкове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заняттях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семестру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підсумковий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410BE">
        <w:rPr>
          <w:rFonts w:ascii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Pr="004410B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10BE" w:rsidRPr="004410BE" w:rsidRDefault="004410BE" w:rsidP="004410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0BE" w:rsidRPr="004410BE" w:rsidRDefault="004410BE" w:rsidP="00441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gram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поточного контролю студент</w:t>
      </w:r>
      <w:proofErr w:type="gram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для поточного контролю</w:t>
      </w:r>
      <w:proofErr w:type="gram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) і з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10B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41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0BE" w:rsidRPr="004410BE" w:rsidRDefault="004410BE" w:rsidP="004410BE">
      <w:pPr>
        <w:ind w:firstLine="560"/>
        <w:jc w:val="both"/>
        <w:rPr>
          <w:sz w:val="28"/>
          <w:szCs w:val="28"/>
          <w:lang w:val="ru-RU"/>
        </w:rPr>
      </w:pPr>
    </w:p>
    <w:p w:rsidR="004410BE" w:rsidRDefault="004410BE" w:rsidP="004410BE">
      <w:pPr>
        <w:ind w:left="142" w:firstLine="567"/>
        <w:jc w:val="both"/>
        <w:rPr>
          <w:color w:val="000000"/>
          <w:sz w:val="28"/>
          <w:szCs w:val="28"/>
          <w:lang w:val="uk-UA"/>
        </w:rPr>
      </w:pPr>
    </w:p>
    <w:p w:rsidR="004410BE" w:rsidRDefault="004410BE" w:rsidP="00FC27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10BE" w:rsidRDefault="004410BE" w:rsidP="00FC27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273D" w:rsidRDefault="00FC273D" w:rsidP="00FC273D">
      <w:pPr>
        <w:ind w:firstLine="709"/>
        <w:jc w:val="both"/>
        <w:rPr>
          <w:sz w:val="28"/>
          <w:szCs w:val="28"/>
          <w:lang w:val="ru-RU"/>
        </w:rPr>
      </w:pPr>
    </w:p>
    <w:p w:rsidR="00FC273D" w:rsidRDefault="00FC273D" w:rsidP="00FC273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FC273D">
          <w:pgSz w:w="11910" w:h="16840"/>
          <w:pgMar w:top="1020" w:right="320" w:bottom="280" w:left="1240" w:header="742" w:footer="0" w:gutter="0"/>
          <w:cols w:space="720"/>
        </w:sectPr>
      </w:pP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C273D" w:rsidRDefault="00FC273D" w:rsidP="00FC27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FC273D" w:rsidRDefault="00FC273D" w:rsidP="00FC2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FC273D" w:rsidRDefault="00FC273D" w:rsidP="00FC273D">
      <w:pPr>
        <w:rPr>
          <w:rFonts w:ascii="Times New Roman" w:eastAsia="Calibri" w:hAnsi="Times New Roman" w:cs="Times New Roman"/>
          <w:sz w:val="28"/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FC273D" w:rsidRDefault="00FC273D" w:rsidP="00FC273D">
      <w:pPr>
        <w:rPr>
          <w:lang w:val="ru-RU"/>
        </w:rPr>
      </w:pPr>
    </w:p>
    <w:p w:rsidR="000B04F2" w:rsidRPr="00FC273D" w:rsidRDefault="000B04F2">
      <w:pPr>
        <w:rPr>
          <w:lang w:val="ru-RU"/>
        </w:rPr>
      </w:pPr>
    </w:p>
    <w:sectPr w:rsidR="000B04F2" w:rsidRPr="00FC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E"/>
    <w:rsid w:val="000B04F2"/>
    <w:rsid w:val="004410BE"/>
    <w:rsid w:val="0056568E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3814"/>
  <w15:chartTrackingRefBased/>
  <w15:docId w15:val="{8F2D180C-6441-4F51-B525-9F9887E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3D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FC273D"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73D"/>
    <w:rPr>
      <w:color w:val="0563C1" w:themeColor="hyperlink"/>
      <w:u w:val="single"/>
    </w:rPr>
  </w:style>
  <w:style w:type="paragraph" w:styleId="a4">
    <w:name w:val="No Spacing"/>
    <w:uiPriority w:val="1"/>
    <w:qFormat/>
    <w:rsid w:val="00FC27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FC273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rsid w:val="00FC273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273D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dungsxperten.net/wissen/das-schulsystem-in-deutschland-funktionen-und-aufgab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d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230077092?pwd=RXBUWURoY1dFUVZIditIVjRpdnBRdz09" TargetMode="External"/><Relationship Id="rId5" Type="http://schemas.openxmlformats.org/officeDocument/2006/relationships/hyperlink" Target="mailto:n.golubenko@onu.edu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2023-04-02T21:55:00Z</dcterms:created>
  <dcterms:modified xsi:type="dcterms:W3CDTF">2023-04-02T22:06:00Z</dcterms:modified>
</cp:coreProperties>
</file>