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10F" w:rsidRDefault="00B7310F" w:rsidP="00B73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10F" w:rsidRP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0F">
        <w:rPr>
          <w:rFonts w:ascii="Times New Roman" w:hAnsi="Times New Roman" w:cs="Times New Roman"/>
          <w:b/>
          <w:sz w:val="28"/>
          <w:szCs w:val="28"/>
          <w:lang w:val="ru-RU"/>
        </w:rPr>
        <w:t>АНОТАЦ</w:t>
      </w:r>
      <w:r w:rsidRPr="00B7310F">
        <w:rPr>
          <w:rFonts w:ascii="Times New Roman" w:hAnsi="Times New Roman" w:cs="Times New Roman"/>
          <w:b/>
          <w:sz w:val="28"/>
          <w:szCs w:val="28"/>
        </w:rPr>
        <w:t>ІЯ</w:t>
      </w:r>
    </w:p>
    <w:p w:rsid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310F">
        <w:rPr>
          <w:rFonts w:ascii="Times New Roman" w:hAnsi="Times New Roman" w:cs="Times New Roman"/>
          <w:b/>
          <w:sz w:val="28"/>
          <w:szCs w:val="28"/>
        </w:rPr>
        <w:t>ибіркова дисципліна</w:t>
      </w:r>
    </w:p>
    <w:p w:rsid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ГУМОР: ЛІНГВІСТИЧНИЙ ТА ПЕРЕКЛАДАЦЬКИЙ</w:t>
      </w:r>
      <w:r w:rsidR="00ED4ECC">
        <w:rPr>
          <w:rFonts w:ascii="Times New Roman" w:hAnsi="Times New Roman" w:cs="Times New Roman"/>
          <w:b/>
          <w:sz w:val="28"/>
          <w:szCs w:val="28"/>
        </w:rPr>
        <w:t xml:space="preserve"> ПАРАМЕТРИ</w:t>
      </w:r>
    </w:p>
    <w:p w:rsid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0F" w:rsidRDefault="00B7310F" w:rsidP="00B73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proofErr w:type="spellStart"/>
      <w:r w:rsidR="00ED4ECC">
        <w:rPr>
          <w:rFonts w:ascii="Times New Roman" w:hAnsi="Times New Roman" w:cs="Times New Roman"/>
          <w:b/>
          <w:sz w:val="28"/>
          <w:szCs w:val="28"/>
        </w:rPr>
        <w:t>Болдирєва</w:t>
      </w:r>
      <w:proofErr w:type="spellEnd"/>
      <w:r w:rsidR="00ED4ECC">
        <w:rPr>
          <w:rFonts w:ascii="Times New Roman" w:hAnsi="Times New Roman" w:cs="Times New Roman"/>
          <w:b/>
          <w:sz w:val="28"/>
          <w:szCs w:val="28"/>
        </w:rPr>
        <w:t xml:space="preserve"> А.Є.</w:t>
      </w:r>
    </w:p>
    <w:p w:rsidR="00B7310F" w:rsidRDefault="00ED4ECC" w:rsidP="00B7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 лекцій присвячено комплексному розгляду феномену гумору: встановлюється його когнітивна природа, описується дія </w:t>
      </w:r>
      <w:proofErr w:type="spellStart"/>
      <w:r w:rsidRPr="00ED4ECC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лінгвокогнітивного</w:t>
      </w:r>
      <w:proofErr w:type="spellEnd"/>
      <w:r w:rsidRPr="00ED4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механізму створення гумористичного ефекту, розглядаються лінгвістичні засоби, що породжують гумор у в оригіналі художнього тексту та його перекладі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Основною </w:t>
      </w:r>
      <w:r w:rsidRPr="00ED4ECC">
        <w:rPr>
          <w:rFonts w:ascii="Times New Roman" w:eastAsia="Calibri" w:hAnsi="Times New Roman" w:cs="Times New Roman"/>
          <w:b/>
          <w:sz w:val="28"/>
          <w:szCs w:val="28"/>
        </w:rPr>
        <w:t>метою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дисципліни </w:t>
      </w:r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є формування інтегральної, загальних та спеціальних (фахових) </w:t>
      </w:r>
      <w:proofErr w:type="spellStart"/>
      <w:r w:rsidRPr="00ED4ECC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у студентів, формування уявлення про </w:t>
      </w:r>
      <w:proofErr w:type="spellStart"/>
      <w:r w:rsidRPr="00ED4ECC">
        <w:rPr>
          <w:rFonts w:ascii="Times New Roman" w:eastAsia="Calibri" w:hAnsi="Times New Roman" w:cs="Times New Roman"/>
          <w:sz w:val="28"/>
          <w:szCs w:val="28"/>
        </w:rPr>
        <w:t>лінгвокогнітивний</w:t>
      </w:r>
      <w:proofErr w:type="spellEnd"/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механізм створення гумористичного ефекту. Основна мета обумовлює вирішення наступних </w:t>
      </w:r>
      <w:r w:rsidRPr="00ED4ECC">
        <w:rPr>
          <w:rFonts w:ascii="Times New Roman" w:eastAsia="Calibri" w:hAnsi="Times New Roman" w:cs="Times New Roman"/>
          <w:b/>
          <w:sz w:val="28"/>
          <w:szCs w:val="28"/>
        </w:rPr>
        <w:t>завдань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усвідомлення місця гумору серед видів комічного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ED4ECC">
        <w:rPr>
          <w:rFonts w:ascii="Times New Roman" w:eastAsia="Calibri" w:hAnsi="Times New Roman" w:cs="Times New Roman"/>
          <w:sz w:val="28"/>
          <w:szCs w:val="28"/>
        </w:rPr>
        <w:t>усвідомлення насамперед психологічного та ментального підґрунтя дискурсивної (комунікативної) природи гумору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аналіз </w:t>
      </w:r>
      <w:proofErr w:type="spellStart"/>
      <w:r w:rsidRPr="00ED4ECC">
        <w:rPr>
          <w:rFonts w:ascii="Times New Roman" w:eastAsia="Calibri" w:hAnsi="Times New Roman" w:cs="Times New Roman"/>
          <w:sz w:val="28"/>
          <w:szCs w:val="28"/>
        </w:rPr>
        <w:t>мовних</w:t>
      </w:r>
      <w:proofErr w:type="spellEnd"/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засобів, що опосередкують когнітивні процеси формування гумористичного ефекту в текстовій комунікації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D4EC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D4ECC">
        <w:rPr>
          <w:rFonts w:ascii="Times New Roman" w:eastAsia="Calibri" w:hAnsi="Times New Roman" w:cs="Times New Roman"/>
          <w:sz w:val="28"/>
          <w:szCs w:val="28"/>
        </w:rPr>
        <w:t>вивчення особливостей когнітивного впливу адресанта гумористичного повідомлення на адресата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з’ясування особливостей передачі гумору при перекладі</w:t>
      </w:r>
      <w:r w:rsidR="00B7310F">
        <w:rPr>
          <w:rFonts w:ascii="Times New Roman" w:hAnsi="Times New Roman" w:cs="Times New Roman"/>
          <w:sz w:val="28"/>
          <w:szCs w:val="28"/>
        </w:rPr>
        <w:t>.</w:t>
      </w:r>
    </w:p>
    <w:p w:rsidR="00B7310F" w:rsidRDefault="00B7310F" w:rsidP="00B73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3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A"/>
    <w:rsid w:val="000D09C4"/>
    <w:rsid w:val="00275908"/>
    <w:rsid w:val="00361EB2"/>
    <w:rsid w:val="008A33C9"/>
    <w:rsid w:val="00922F7A"/>
    <w:rsid w:val="00A23D5F"/>
    <w:rsid w:val="00A47252"/>
    <w:rsid w:val="00B2565B"/>
    <w:rsid w:val="00B50224"/>
    <w:rsid w:val="00B7310F"/>
    <w:rsid w:val="00ED4ECC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629BA-E2AA-4D13-8C39-A27F018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Elena Key</cp:lastModifiedBy>
  <cp:revision>2</cp:revision>
  <dcterms:created xsi:type="dcterms:W3CDTF">2023-04-22T18:46:00Z</dcterms:created>
  <dcterms:modified xsi:type="dcterms:W3CDTF">2023-04-22T18:46:00Z</dcterms:modified>
</cp:coreProperties>
</file>