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046F" w14:textId="77777777" w:rsidR="006B2203" w:rsidRDefault="00E369EB">
      <w:pPr>
        <w:spacing w:after="0"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МІНІСТЕРСТВО ОСВІТИ І НАУКИ УКРАЇНИ</w:t>
      </w:r>
    </w:p>
    <w:p w14:paraId="2DFDDFD5" w14:textId="77777777" w:rsidR="006B2203" w:rsidRDefault="00E369EB">
      <w:pPr>
        <w:spacing w:after="0" w:line="240" w:lineRule="auto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ОДЕСЬКИЙ НАЦІОНАЛЬНИЙ УНІВЕРСИТЕТ </w:t>
      </w:r>
      <w:proofErr w:type="spellStart"/>
      <w:r>
        <w:rPr>
          <w:rFonts w:cs="Times New Roman"/>
          <w:sz w:val="27"/>
          <w:szCs w:val="27"/>
        </w:rPr>
        <w:t>імені</w:t>
      </w:r>
      <w:proofErr w:type="spellEnd"/>
      <w:r>
        <w:rPr>
          <w:rFonts w:cs="Times New Roman"/>
          <w:sz w:val="27"/>
          <w:szCs w:val="27"/>
        </w:rPr>
        <w:t xml:space="preserve"> І.</w:t>
      </w:r>
      <w:r>
        <w:rPr>
          <w:rFonts w:cs="Times New Roman"/>
          <w:sz w:val="27"/>
          <w:szCs w:val="27"/>
          <w:lang w:val="uk-UA"/>
        </w:rPr>
        <w:t> </w:t>
      </w:r>
      <w:r>
        <w:rPr>
          <w:rFonts w:cs="Times New Roman"/>
          <w:sz w:val="27"/>
          <w:szCs w:val="27"/>
        </w:rPr>
        <w:t>І. МЕЧНИКОВА</w:t>
      </w:r>
    </w:p>
    <w:tbl>
      <w:tblPr>
        <w:tblStyle w:val="a9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  <w:gridCol w:w="2409"/>
      </w:tblGrid>
      <w:tr w:rsidR="006B2203" w14:paraId="5F2E7E41" w14:textId="77777777">
        <w:trPr>
          <w:trHeight w:val="2143"/>
        </w:trPr>
        <w:tc>
          <w:tcPr>
            <w:tcW w:w="2235" w:type="dxa"/>
          </w:tcPr>
          <w:p w14:paraId="7F80A91E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88554C0" wp14:editId="6E112C94">
                  <wp:extent cx="1251585" cy="1212850"/>
                  <wp:effectExtent l="0" t="0" r="5715" b="6350"/>
                  <wp:docPr id="1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05E4F3B1" w14:textId="77777777" w:rsidR="006B2203" w:rsidRDefault="006B2203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3B65704B" w14:textId="77777777" w:rsidR="006B2203" w:rsidRDefault="00E369EB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</w:rPr>
              <w:t xml:space="preserve">Факультет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романо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>-германської філології</w:t>
            </w:r>
          </w:p>
          <w:p w14:paraId="3D91C06B" w14:textId="77777777" w:rsidR="006B2203" w:rsidRDefault="00E369E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стилістики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  <w:p w14:paraId="1B8F942D" w14:textId="77777777" w:rsidR="006B2203" w:rsidRDefault="006B2203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6E344AE0" w14:textId="77777777" w:rsidR="006B2203" w:rsidRDefault="00E369EB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Силабус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навчальної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дисципліни</w:t>
            </w:r>
            <w:proofErr w:type="spellEnd"/>
          </w:p>
          <w:p w14:paraId="67296CFB" w14:textId="77777777" w:rsidR="006B2203" w:rsidRDefault="006B2203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  <w:p w14:paraId="3B46D1E5" w14:textId="77777777" w:rsidR="006B2203" w:rsidRDefault="00E369EB" w:rsidP="00F1647B">
            <w:pPr>
              <w:spacing w:after="0" w:line="240" w:lineRule="auto"/>
              <w:ind w:left="984" w:right="-391" w:hangingChars="350" w:hanging="984"/>
              <w:rPr>
                <w:rFonts w:cs="Times New Roman"/>
                <w:b/>
                <w:bCs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Cs w:val="28"/>
                <w:lang w:val="uk-UA"/>
              </w:rPr>
              <w:t xml:space="preserve">          НАРАТИВ В АНГЛОМОВНОМУ ХУДОЖНЬОМУ  ТЕКСТІ </w:t>
            </w:r>
          </w:p>
          <w:p w14:paraId="26EF0992" w14:textId="77777777" w:rsidR="006B2203" w:rsidRDefault="006B2203">
            <w:pPr>
              <w:widowControl w:val="0"/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14:paraId="3B4EF58A" w14:textId="77777777" w:rsidR="006B2203" w:rsidRDefault="006B2203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</w:tbl>
    <w:p w14:paraId="15AE7CA0" w14:textId="77777777" w:rsidR="006B2203" w:rsidRDefault="006B2203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6F3EEE" w14:paraId="4E360337" w14:textId="77777777" w:rsidTr="00CE504E">
        <w:tc>
          <w:tcPr>
            <w:tcW w:w="2802" w:type="dxa"/>
            <w:shd w:val="clear" w:color="auto" w:fill="DAEEF3" w:themeFill="accent5" w:themeFillTint="33"/>
          </w:tcPr>
          <w:p w14:paraId="61EFC703" w14:textId="3C6192DE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1C4A54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Рівень вищої освіти:</w:t>
            </w:r>
          </w:p>
        </w:tc>
        <w:tc>
          <w:tcPr>
            <w:tcW w:w="7371" w:type="dxa"/>
          </w:tcPr>
          <w:p w14:paraId="46B2A378" w14:textId="77777777" w:rsidR="006F3EEE" w:rsidRDefault="006F3EEE" w:rsidP="006F3EEE">
            <w:pPr>
              <w:rPr>
                <w:rFonts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П</w:t>
            </w:r>
            <w:proofErr w:type="spellStart"/>
            <w:r>
              <w:rPr>
                <w:rFonts w:cs="Times New Roman"/>
                <w:color w:val="000000"/>
                <w:sz w:val="27"/>
                <w:szCs w:val="27"/>
              </w:rPr>
              <w:t>ерший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7"/>
                <w:szCs w:val="27"/>
              </w:rPr>
              <w:t>бакалаврський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</w:rPr>
              <w:t>)</w:t>
            </w:r>
          </w:p>
        </w:tc>
      </w:tr>
      <w:tr w:rsidR="006F3EEE" w14:paraId="74C4A8D3" w14:textId="77777777" w:rsidTr="00CE504E">
        <w:tc>
          <w:tcPr>
            <w:tcW w:w="2802" w:type="dxa"/>
            <w:shd w:val="clear" w:color="auto" w:fill="DAEEF3" w:themeFill="accent5" w:themeFillTint="33"/>
          </w:tcPr>
          <w:p w14:paraId="09263FE8" w14:textId="2FD75652" w:rsidR="006F3EEE" w:rsidRDefault="006F3EEE" w:rsidP="006F3EEE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1C4A54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Галузь знань:</w:t>
            </w:r>
          </w:p>
        </w:tc>
        <w:tc>
          <w:tcPr>
            <w:tcW w:w="7371" w:type="dxa"/>
          </w:tcPr>
          <w:p w14:paraId="1B6E627A" w14:textId="77777777" w:rsidR="006F3EEE" w:rsidRDefault="006F3EEE" w:rsidP="006F3EEE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6F3EEE" w14:paraId="7FE71C15" w14:textId="77777777" w:rsidTr="00CE504E">
        <w:tc>
          <w:tcPr>
            <w:tcW w:w="2802" w:type="dxa"/>
            <w:shd w:val="clear" w:color="auto" w:fill="DAEEF3" w:themeFill="accent5" w:themeFillTint="33"/>
          </w:tcPr>
          <w:p w14:paraId="378DA3EF" w14:textId="60B629EE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1C4A54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Спеціальність:</w:t>
            </w:r>
          </w:p>
        </w:tc>
        <w:tc>
          <w:tcPr>
            <w:tcW w:w="7371" w:type="dxa"/>
          </w:tcPr>
          <w:p w14:paraId="4FD6D646" w14:textId="77777777" w:rsidR="006F3EEE" w:rsidRDefault="006F3EEE" w:rsidP="006F3EEE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6F3EEE" w14:paraId="4E50F045" w14:textId="77777777" w:rsidTr="00CE504E">
        <w:tc>
          <w:tcPr>
            <w:tcW w:w="2802" w:type="dxa"/>
            <w:shd w:val="clear" w:color="auto" w:fill="DAEEF3" w:themeFill="accent5" w:themeFillTint="33"/>
          </w:tcPr>
          <w:p w14:paraId="602D5DF8" w14:textId="32E8F1A5" w:rsidR="006F3EEE" w:rsidRDefault="006F3EEE" w:rsidP="006F3EEE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7"/>
                <w:szCs w:val="27"/>
                <w:lang w:val="uk-UA"/>
              </w:rPr>
            </w:pPr>
            <w:r w:rsidRPr="001C4A54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Спеціалізація:</w:t>
            </w:r>
          </w:p>
        </w:tc>
        <w:tc>
          <w:tcPr>
            <w:tcW w:w="7371" w:type="dxa"/>
          </w:tcPr>
          <w:p w14:paraId="477AD52D" w14:textId="77777777" w:rsidR="006F3EEE" w:rsidRDefault="006F3EEE" w:rsidP="006F3EEE">
            <w:pPr>
              <w:widowControl w:val="0"/>
              <w:tabs>
                <w:tab w:val="left" w:pos="709"/>
              </w:tabs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Спеціалізація: 035.041 Германські мови та літератури (переклад включно), перша – англійська </w:t>
            </w:r>
          </w:p>
        </w:tc>
      </w:tr>
      <w:tr w:rsidR="006F3EEE" w14:paraId="3A865169" w14:textId="77777777" w:rsidTr="00CE504E">
        <w:tc>
          <w:tcPr>
            <w:tcW w:w="2802" w:type="dxa"/>
            <w:shd w:val="clear" w:color="auto" w:fill="DAEEF3" w:themeFill="accent5" w:themeFillTint="33"/>
          </w:tcPr>
          <w:p w14:paraId="121E6781" w14:textId="4ABDC9A0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1C4A54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</w:tcPr>
          <w:p w14:paraId="33756A93" w14:textId="77777777" w:rsidR="006F3EEE" w:rsidRDefault="006F3EEE" w:rsidP="006F3EEE">
            <w:pPr>
              <w:widowControl w:val="0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«Германські мови та літератури (переклад включно), перша – англійська»</w:t>
            </w:r>
          </w:p>
        </w:tc>
      </w:tr>
      <w:tr w:rsidR="006F3EEE" w14:paraId="27310C7F" w14:textId="77777777" w:rsidTr="00CE504E">
        <w:tc>
          <w:tcPr>
            <w:tcW w:w="2802" w:type="dxa"/>
            <w:shd w:val="clear" w:color="auto" w:fill="DAEEF3" w:themeFill="accent5" w:themeFillTint="33"/>
          </w:tcPr>
          <w:p w14:paraId="32354E70" w14:textId="77777777" w:rsidR="006F3EEE" w:rsidRPr="001C4A54" w:rsidRDefault="006F3EEE" w:rsidP="006F3EEE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1C4A54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 xml:space="preserve">Семестр, </w:t>
            </w:r>
          </w:p>
          <w:p w14:paraId="4DEDF1F9" w14:textId="420EF2D5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1C4A54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рік навчання:</w:t>
            </w:r>
          </w:p>
        </w:tc>
        <w:tc>
          <w:tcPr>
            <w:tcW w:w="7371" w:type="dxa"/>
          </w:tcPr>
          <w:p w14:paraId="3C68CC94" w14:textId="77777777" w:rsidR="006F3EEE" w:rsidRDefault="006F3EEE" w:rsidP="006F3EEE">
            <w:pPr>
              <w:spacing w:after="0" w:line="240" w:lineRule="auto"/>
              <w:rPr>
                <w:rFonts w:cs="Times New Roman"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>7 семестр</w:t>
            </w:r>
            <w:r>
              <w:rPr>
                <w:rFonts w:cs="Times New Roman"/>
                <w:iCs/>
                <w:sz w:val="27"/>
                <w:szCs w:val="27"/>
                <w:lang w:val="en-US"/>
              </w:rPr>
              <w:t>, 4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 рік</w:t>
            </w:r>
          </w:p>
          <w:p w14:paraId="1B7D0B8E" w14:textId="77777777" w:rsidR="006F3EEE" w:rsidRDefault="006F3EEE" w:rsidP="006F3EEE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  <w:tr w:rsidR="006F3EEE" w14:paraId="6403AFCB" w14:textId="77777777" w:rsidTr="00CE504E">
        <w:tc>
          <w:tcPr>
            <w:tcW w:w="2802" w:type="dxa"/>
            <w:shd w:val="clear" w:color="auto" w:fill="DAEEF3" w:themeFill="accent5" w:themeFillTint="33"/>
          </w:tcPr>
          <w:p w14:paraId="1FB929AC" w14:textId="13E2EA2F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1C4A54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Статус дисципліни</w:t>
            </w:r>
          </w:p>
        </w:tc>
        <w:tc>
          <w:tcPr>
            <w:tcW w:w="7371" w:type="dxa"/>
          </w:tcPr>
          <w:p w14:paraId="1D80748B" w14:textId="77777777" w:rsidR="006F3EEE" w:rsidRDefault="006F3EEE" w:rsidP="006F3EEE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>Вибіркова</w:t>
            </w:r>
          </w:p>
        </w:tc>
      </w:tr>
      <w:tr w:rsidR="006F3EEE" w14:paraId="3B0919CE" w14:textId="77777777" w:rsidTr="00CE504E">
        <w:tc>
          <w:tcPr>
            <w:tcW w:w="2802" w:type="dxa"/>
            <w:shd w:val="clear" w:color="auto" w:fill="DAEEF3" w:themeFill="accent5" w:themeFillTint="33"/>
          </w:tcPr>
          <w:p w14:paraId="7C7BDA88" w14:textId="192B95DF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1C4A54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Обсяг:</w:t>
            </w:r>
          </w:p>
        </w:tc>
        <w:tc>
          <w:tcPr>
            <w:tcW w:w="7371" w:type="dxa"/>
          </w:tcPr>
          <w:p w14:paraId="367B80CD" w14:textId="77777777" w:rsidR="006F3EEE" w:rsidRDefault="006F3EEE" w:rsidP="006F3EEE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>
              <w:rPr>
                <w:rFonts w:eastAsia="Times New Roman" w:cs="Times New Roman"/>
                <w:iCs/>
                <w:sz w:val="27"/>
                <w:szCs w:val="27"/>
              </w:rPr>
              <w:t>ЄКТС</w:t>
            </w:r>
            <w:r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>, 90 годин, з яких: практичні заняття – 36 годин, самостійна робота – 54 годин</w:t>
            </w:r>
          </w:p>
        </w:tc>
      </w:tr>
      <w:tr w:rsidR="006F3EEE" w14:paraId="35686B71" w14:textId="77777777" w:rsidTr="00CE504E">
        <w:tc>
          <w:tcPr>
            <w:tcW w:w="2802" w:type="dxa"/>
            <w:shd w:val="clear" w:color="auto" w:fill="DAEEF3" w:themeFill="accent5" w:themeFillTint="33"/>
          </w:tcPr>
          <w:p w14:paraId="672FCBCD" w14:textId="713108B1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1C4A54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Мова викладання:</w:t>
            </w:r>
          </w:p>
        </w:tc>
        <w:tc>
          <w:tcPr>
            <w:tcW w:w="7371" w:type="dxa"/>
          </w:tcPr>
          <w:p w14:paraId="2FAA5AC1" w14:textId="77777777" w:rsidR="006F3EEE" w:rsidRDefault="006F3EEE" w:rsidP="006F3EEE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англійська</w:t>
            </w:r>
          </w:p>
        </w:tc>
      </w:tr>
      <w:tr w:rsidR="006F3EEE" w14:paraId="2641E182" w14:textId="77777777" w:rsidTr="00CE504E">
        <w:tc>
          <w:tcPr>
            <w:tcW w:w="2802" w:type="dxa"/>
            <w:shd w:val="clear" w:color="auto" w:fill="DAEEF3" w:themeFill="accent5" w:themeFillTint="33"/>
          </w:tcPr>
          <w:p w14:paraId="01EE92EA" w14:textId="5DF2BD33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1C4A54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День, час, місце:</w:t>
            </w:r>
          </w:p>
        </w:tc>
        <w:tc>
          <w:tcPr>
            <w:tcW w:w="7371" w:type="dxa"/>
          </w:tcPr>
          <w:p w14:paraId="3886CBB6" w14:textId="77777777" w:rsidR="006F3EEE" w:rsidRDefault="006F3EEE" w:rsidP="006F3EEE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6F3EEE" w14:paraId="7A28A1B6" w14:textId="77777777" w:rsidTr="00CE504E">
        <w:tc>
          <w:tcPr>
            <w:tcW w:w="2802" w:type="dxa"/>
            <w:shd w:val="clear" w:color="auto" w:fill="DAEEF3" w:themeFill="accent5" w:themeFillTint="33"/>
          </w:tcPr>
          <w:p w14:paraId="48750148" w14:textId="79C1AE60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1C4A54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Викладачі:</w:t>
            </w:r>
          </w:p>
        </w:tc>
        <w:tc>
          <w:tcPr>
            <w:tcW w:w="7371" w:type="dxa"/>
          </w:tcPr>
          <w:p w14:paraId="4BBF04D1" w14:textId="77777777" w:rsidR="006F3EEE" w:rsidRDefault="006F3EEE" w:rsidP="006F3EEE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Олена Володимирівна ІГІНА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, к.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філол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н., доцент кафедри </w:t>
            </w:r>
            <w:proofErr w:type="spellStart"/>
            <w:r>
              <w:rPr>
                <w:rFonts w:cs="Times New Roman"/>
                <w:sz w:val="27"/>
                <w:szCs w:val="27"/>
              </w:rPr>
              <w:t>лексикології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стилістики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англійської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мови</w:t>
            </w:r>
            <w:proofErr w:type="spellEnd"/>
          </w:p>
        </w:tc>
      </w:tr>
      <w:tr w:rsidR="006F3EEE" w14:paraId="2A159FB4" w14:textId="77777777" w:rsidTr="00CE504E">
        <w:tc>
          <w:tcPr>
            <w:tcW w:w="2802" w:type="dxa"/>
            <w:shd w:val="clear" w:color="auto" w:fill="DAEEF3" w:themeFill="accent5" w:themeFillTint="33"/>
          </w:tcPr>
          <w:p w14:paraId="03D0B084" w14:textId="6ABE42B8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78393C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Контактна інформація:</w:t>
            </w:r>
          </w:p>
        </w:tc>
        <w:tc>
          <w:tcPr>
            <w:tcW w:w="7371" w:type="dxa"/>
          </w:tcPr>
          <w:p w14:paraId="781072EB" w14:textId="77777777" w:rsidR="006F3EEE" w:rsidRDefault="006F3EEE" w:rsidP="006F3EEE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en-US"/>
              </w:rPr>
            </w:pPr>
            <w:r>
              <w:rPr>
                <w:rStyle w:val="a7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elenaigina@ukr.net</w:t>
            </w:r>
          </w:p>
        </w:tc>
      </w:tr>
      <w:tr w:rsidR="006F3EEE" w14:paraId="54C2F4F7" w14:textId="77777777" w:rsidTr="00CE504E">
        <w:tc>
          <w:tcPr>
            <w:tcW w:w="2802" w:type="dxa"/>
            <w:shd w:val="clear" w:color="auto" w:fill="DAEEF3" w:themeFill="accent5" w:themeFillTint="33"/>
          </w:tcPr>
          <w:p w14:paraId="1A9C7976" w14:textId="02D3B5DF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78393C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Робоче місце:</w:t>
            </w:r>
          </w:p>
        </w:tc>
        <w:tc>
          <w:tcPr>
            <w:tcW w:w="7371" w:type="dxa"/>
          </w:tcPr>
          <w:p w14:paraId="7FEC58C3" w14:textId="77777777" w:rsidR="006F3EEE" w:rsidRDefault="006F3EEE" w:rsidP="006F3EEE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Французький бульвар, 24/26,</w:t>
            </w:r>
          </w:p>
          <w:p w14:paraId="29163A2F" w14:textId="77777777" w:rsidR="006F3EEE" w:rsidRDefault="006F3EEE" w:rsidP="006F3EEE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кафедра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лексикології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стилістики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англійської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мови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ауд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>. 110)</w:t>
            </w:r>
          </w:p>
        </w:tc>
      </w:tr>
      <w:tr w:rsidR="006F3EEE" w14:paraId="7400B8E5" w14:textId="77777777" w:rsidTr="00CE504E">
        <w:tc>
          <w:tcPr>
            <w:tcW w:w="2802" w:type="dxa"/>
            <w:shd w:val="clear" w:color="auto" w:fill="DAEEF3" w:themeFill="accent5" w:themeFillTint="33"/>
          </w:tcPr>
          <w:p w14:paraId="563C840B" w14:textId="634E2EA9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78393C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Консультації:</w:t>
            </w:r>
          </w:p>
        </w:tc>
        <w:tc>
          <w:tcPr>
            <w:tcW w:w="7371" w:type="dxa"/>
          </w:tcPr>
          <w:p w14:paraId="6AA26B71" w14:textId="77777777" w:rsidR="006F3EEE" w:rsidRDefault="006F3EEE" w:rsidP="006F3EEE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Онлайн-консультації</w:t>
            </w:r>
            <w:r>
              <w:rPr>
                <w:rFonts w:cs="Times New Roman"/>
                <w:i/>
                <w:sz w:val="27"/>
                <w:szCs w:val="27"/>
              </w:rPr>
              <w:t xml:space="preserve"> 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за потребою кожний робочий день з 1</w:t>
            </w:r>
            <w:r>
              <w:rPr>
                <w:rFonts w:cs="Times New Roman"/>
                <w:iCs/>
                <w:sz w:val="27"/>
                <w:szCs w:val="27"/>
              </w:rPr>
              <w:t>0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.00 до 1</w:t>
            </w:r>
            <w:r>
              <w:rPr>
                <w:rFonts w:cs="Times New Roman"/>
                <w:iCs/>
                <w:sz w:val="27"/>
                <w:szCs w:val="27"/>
              </w:rPr>
              <w:t>3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.00 за </w:t>
            </w:r>
            <w:proofErr w:type="spellStart"/>
            <w:r>
              <w:rPr>
                <w:rFonts w:cs="Times New Roman"/>
                <w:iCs/>
                <w:sz w:val="27"/>
                <w:szCs w:val="27"/>
                <w:lang w:val="uk-UA"/>
              </w:rPr>
              <w:t>адресою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Style w:val="a7"/>
                <w:rFonts w:cs="Times New Roman"/>
                <w:color w:val="auto"/>
                <w:sz w:val="27"/>
                <w:szCs w:val="27"/>
                <w:u w:val="none"/>
              </w:rPr>
              <w:t xml:space="preserve"> </w:t>
            </w:r>
            <w:proofErr w:type="spellStart"/>
            <w:r>
              <w:rPr>
                <w:rStyle w:val="a7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elenaigina</w:t>
            </w:r>
            <w:proofErr w:type="spellEnd"/>
            <w:r>
              <w:rPr>
                <w:rStyle w:val="a7"/>
                <w:rFonts w:cs="Times New Roman"/>
                <w:color w:val="auto"/>
                <w:sz w:val="27"/>
                <w:szCs w:val="27"/>
                <w:u w:val="none"/>
              </w:rPr>
              <w:t>@</w:t>
            </w:r>
            <w:proofErr w:type="spellStart"/>
            <w:r>
              <w:rPr>
                <w:rStyle w:val="a7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ukr</w:t>
            </w:r>
            <w:proofErr w:type="spellEnd"/>
            <w:r>
              <w:rPr>
                <w:rStyle w:val="a7"/>
                <w:rFonts w:cs="Times New Roman"/>
                <w:color w:val="auto"/>
                <w:sz w:val="27"/>
                <w:szCs w:val="27"/>
                <w:u w:val="none"/>
              </w:rPr>
              <w:t>.</w:t>
            </w:r>
            <w:r>
              <w:rPr>
                <w:rStyle w:val="a7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net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</w:p>
        </w:tc>
      </w:tr>
      <w:tr w:rsidR="006F3EEE" w14:paraId="1AF4A0F4" w14:textId="77777777" w:rsidTr="00995D8D">
        <w:tc>
          <w:tcPr>
            <w:tcW w:w="2802" w:type="dxa"/>
            <w:shd w:val="clear" w:color="auto" w:fill="DAEEF3" w:themeFill="accent5" w:themeFillTint="33"/>
          </w:tcPr>
          <w:p w14:paraId="5AC22A24" w14:textId="44DAE872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proofErr w:type="spellStart"/>
            <w:r w:rsidRPr="00C565A8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>Передреквізити</w:t>
            </w:r>
            <w:proofErr w:type="spellEnd"/>
            <w:r w:rsidRPr="00C565A8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14:paraId="65D79825" w14:textId="77777777" w:rsidR="006F3EEE" w:rsidRDefault="006F3EEE" w:rsidP="006F3EEE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Знання у царині загального мовознавства,  лексикології і стилістики</w:t>
            </w:r>
          </w:p>
        </w:tc>
      </w:tr>
      <w:tr w:rsidR="006F3EEE" w14:paraId="1BC7E7F2" w14:textId="77777777" w:rsidTr="00995D8D">
        <w:tc>
          <w:tcPr>
            <w:tcW w:w="2802" w:type="dxa"/>
            <w:shd w:val="clear" w:color="auto" w:fill="DAEEF3" w:themeFill="accent5" w:themeFillTint="33"/>
          </w:tcPr>
          <w:p w14:paraId="35CF7E7E" w14:textId="2DA9727E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proofErr w:type="spellStart"/>
            <w:r w:rsidRPr="0078393C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>Постреквізити</w:t>
            </w:r>
            <w:proofErr w:type="spellEnd"/>
            <w:r w:rsidRPr="0078393C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14:paraId="7434770B" w14:textId="77777777" w:rsidR="006F3EEE" w:rsidRDefault="006F3EEE" w:rsidP="006F3EEE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Підготовка до написання курсових та  дипломних робіт відповідної тематики, підвищення загального наукового рівня підготовки лінгвіста.</w:t>
            </w:r>
          </w:p>
        </w:tc>
      </w:tr>
      <w:tr w:rsidR="006F3EEE" w14:paraId="212815BD" w14:textId="77777777" w:rsidTr="00995D8D">
        <w:tc>
          <w:tcPr>
            <w:tcW w:w="2802" w:type="dxa"/>
            <w:shd w:val="clear" w:color="auto" w:fill="DAEEF3" w:themeFill="accent5" w:themeFillTint="33"/>
          </w:tcPr>
          <w:p w14:paraId="5F19E7A2" w14:textId="2829BD2E" w:rsidR="006F3EEE" w:rsidRDefault="006F3EEE" w:rsidP="006F3EEE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78393C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>Мета навчальної дисципліни</w:t>
            </w:r>
            <w:r w:rsidRPr="0078393C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14:paraId="7FD81EF2" w14:textId="77777777" w:rsidR="006F3EEE" w:rsidRDefault="006F3EEE" w:rsidP="006F3EEE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Ознайомити студентів із основними засадами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наративної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наукової парадигми.</w:t>
            </w:r>
          </w:p>
        </w:tc>
      </w:tr>
      <w:tr w:rsidR="006F3EEE" w:rsidRPr="006F3EEE" w14:paraId="68C8B0EC" w14:textId="77777777" w:rsidTr="00995D8D">
        <w:tc>
          <w:tcPr>
            <w:tcW w:w="2802" w:type="dxa"/>
            <w:shd w:val="clear" w:color="auto" w:fill="DAEEF3" w:themeFill="accent5" w:themeFillTint="33"/>
          </w:tcPr>
          <w:p w14:paraId="19D6B5D3" w14:textId="3A54EEF7" w:rsidR="006F3EEE" w:rsidRDefault="006F3EEE" w:rsidP="006F3EEE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78393C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lastRenderedPageBreak/>
              <w:t>Завдання навчальної дисципліни</w:t>
            </w:r>
            <w:r w:rsidRPr="0078393C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14:paraId="5D0A220A" w14:textId="77777777" w:rsidR="006F3EEE" w:rsidRDefault="006F3EEE" w:rsidP="006F3EEE">
            <w:pPr>
              <w:spacing w:line="276" w:lineRule="auto"/>
              <w:jc w:val="both"/>
              <w:rPr>
                <w:rFonts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Сформувати у здобувачів вищої освіти першого рівня теоретичні знання про стрижневі засади та поняття про специфіку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наративного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дискурсу; особливості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наративної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структури;  поняття “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наратор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>”, “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фокалізатор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”, “точка зору”, “перспектива“; типологію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нараторів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та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фокалізаторів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.</w:t>
            </w:r>
          </w:p>
        </w:tc>
      </w:tr>
      <w:tr w:rsidR="006F3EEE" w:rsidRPr="006F3EEE" w14:paraId="48E67F18" w14:textId="77777777" w:rsidTr="0061264B">
        <w:tc>
          <w:tcPr>
            <w:tcW w:w="2802" w:type="dxa"/>
            <w:shd w:val="clear" w:color="auto" w:fill="DAEEF3" w:themeFill="accent5" w:themeFillTint="33"/>
          </w:tcPr>
          <w:p w14:paraId="76383F06" w14:textId="33B7E067" w:rsidR="006F3EEE" w:rsidRDefault="006F3EEE" w:rsidP="006F3EEE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78393C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>Очікувані результати навчання</w:t>
            </w:r>
            <w:r w:rsidRPr="0078393C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14:paraId="66D6BB98" w14:textId="77777777" w:rsidR="006F3EEE" w:rsidRDefault="006F3EEE" w:rsidP="006F3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eastAsia="Calibri" w:cs="Times New Roman"/>
                <w:color w:val="000000"/>
                <w:sz w:val="27"/>
                <w:szCs w:val="27"/>
                <w:lang w:val="uk-UA"/>
              </w:rPr>
              <w:t>У результаті вивчення навчальної дисципліни здобувач вищої освіти повинен</w:t>
            </w:r>
          </w:p>
          <w:p w14:paraId="56E79E25" w14:textId="77777777" w:rsidR="006F3EEE" w:rsidRDefault="006F3EEE" w:rsidP="006F3EEE">
            <w:pPr>
              <w:spacing w:after="0" w:line="276" w:lineRule="auto"/>
              <w:ind w:firstLine="567"/>
              <w:jc w:val="both"/>
              <w:rPr>
                <w:rFonts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color w:val="000000"/>
                <w:sz w:val="27"/>
                <w:szCs w:val="27"/>
                <w:lang w:val="uk-UA"/>
              </w:rPr>
              <w:t>знати</w:t>
            </w:r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: ключові поняття дисципліни “</w:t>
            </w:r>
            <w:proofErr w:type="spellStart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Наратив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 xml:space="preserve"> в англомовному художньому тексті”;</w:t>
            </w:r>
          </w:p>
          <w:p w14:paraId="0EAAC8D0" w14:textId="77777777" w:rsidR="006F3EEE" w:rsidRDefault="006F3EEE" w:rsidP="006F3EEE">
            <w:pPr>
              <w:spacing w:line="276" w:lineRule="auto"/>
              <w:ind w:firstLine="567"/>
              <w:jc w:val="both"/>
              <w:rPr>
                <w:rFonts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color w:val="000000"/>
                <w:sz w:val="27"/>
                <w:szCs w:val="27"/>
                <w:lang w:val="uk-UA"/>
              </w:rPr>
              <w:t>вміти</w:t>
            </w:r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: вільно користуватися термінологією дисципліни  “</w:t>
            </w:r>
            <w:proofErr w:type="spellStart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Наратив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 xml:space="preserve"> в англомовному художньому тексті”, аналізувати художній текст с точки зору </w:t>
            </w:r>
            <w:proofErr w:type="spellStart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наратора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 xml:space="preserve"> та </w:t>
            </w:r>
            <w:proofErr w:type="spellStart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фокалізатора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 xml:space="preserve">, виконувати </w:t>
            </w:r>
            <w:proofErr w:type="spellStart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>наратологічне</w:t>
            </w:r>
            <w:proofErr w:type="spellEnd"/>
            <w:r>
              <w:rPr>
                <w:rFonts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sz w:val="27"/>
                <w:szCs w:val="27"/>
                <w:lang w:val="uk-UA"/>
              </w:rPr>
              <w:t>дослідження на матеріалі твору, що є предметом вивчення в курсовій роботі здобувача.</w:t>
            </w:r>
          </w:p>
        </w:tc>
      </w:tr>
      <w:tr w:rsidR="006F3EEE" w:rsidRPr="006F3EEE" w14:paraId="33F9C67F" w14:textId="77777777" w:rsidTr="0061264B">
        <w:trPr>
          <w:trHeight w:val="5802"/>
        </w:trPr>
        <w:tc>
          <w:tcPr>
            <w:tcW w:w="2802" w:type="dxa"/>
            <w:shd w:val="clear" w:color="auto" w:fill="DAEEF3" w:themeFill="accent5" w:themeFillTint="33"/>
          </w:tcPr>
          <w:p w14:paraId="4DA6AA03" w14:textId="1FE15DF5" w:rsidR="006F3EEE" w:rsidRDefault="006F3EEE" w:rsidP="006F3EEE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78393C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>Зміст навчальної дисципліни</w:t>
            </w:r>
            <w:r w:rsidRPr="0078393C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14:paraId="0DD51D52" w14:textId="77777777" w:rsidR="006F3EEE" w:rsidRDefault="006F3EEE" w:rsidP="006F3EEE">
            <w:pPr>
              <w:spacing w:after="0" w:line="276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Змістовий модуль 1.</w:t>
            </w:r>
          </w:p>
          <w:p w14:paraId="43D2794D" w14:textId="77777777" w:rsidR="006F3EEE" w:rsidRDefault="006F3EEE" w:rsidP="006F3EEE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Тема 1.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Історія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як </w:t>
            </w:r>
            <w:proofErr w:type="spellStart"/>
            <w:r>
              <w:rPr>
                <w:rFonts w:cs="Times New Roman"/>
                <w:sz w:val="27"/>
                <w:szCs w:val="27"/>
              </w:rPr>
              <w:t>літературознавчої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науки.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Історія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становлення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7"/>
                <w:szCs w:val="27"/>
              </w:rPr>
              <w:t>наратології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: 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від</w:t>
            </w:r>
            <w:proofErr w:type="spellEnd"/>
            <w:proofErr w:type="gram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античної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практики до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нових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наративних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практик </w:t>
            </w:r>
            <w:proofErr w:type="spellStart"/>
            <w:r>
              <w:rPr>
                <w:rFonts w:cs="Times New Roman"/>
                <w:sz w:val="27"/>
                <w:szCs w:val="27"/>
              </w:rPr>
              <w:t>студіювання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художнього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тексту.</w:t>
            </w:r>
          </w:p>
          <w:p w14:paraId="7C8466BF" w14:textId="77777777" w:rsidR="006F3EEE" w:rsidRDefault="006F3EEE" w:rsidP="006F3EEE">
            <w:pPr>
              <w:spacing w:after="0" w:line="276" w:lineRule="auto"/>
              <w:jc w:val="both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Тема 2.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Основні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7"/>
                <w:szCs w:val="27"/>
              </w:rPr>
              <w:t>положення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наукових</w:t>
            </w:r>
            <w:proofErr w:type="spellEnd"/>
            <w:proofErr w:type="gram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праць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Аристотеля та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Платона.Основні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положення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Поетики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 </w:t>
            </w:r>
            <w:proofErr w:type="spellStart"/>
            <w:r>
              <w:rPr>
                <w:rFonts w:cs="Times New Roman"/>
                <w:sz w:val="27"/>
                <w:szCs w:val="27"/>
              </w:rPr>
              <w:t>Арістотеля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Основні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положення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Республіки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 Платона.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Ключові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наративні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модальності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оповідного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тексту: </w:t>
            </w:r>
            <w:proofErr w:type="spellStart"/>
            <w:r>
              <w:rPr>
                <w:rFonts w:cs="Times New Roman"/>
                <w:sz w:val="27"/>
                <w:szCs w:val="27"/>
              </w:rPr>
              <w:t>мімезис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дієгезис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  <w:p w14:paraId="7E669D2D" w14:textId="77777777" w:rsidR="006F3EEE" w:rsidRDefault="006F3EEE" w:rsidP="006F3EEE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Тема 3.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Принципи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наратологічного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вивчення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художнього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тексту в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працях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представників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формалізму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(М.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Бахтін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В.Пропп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В.Шкловский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Б.Томашевський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). </w:t>
            </w:r>
          </w:p>
          <w:p w14:paraId="41A8C7DA" w14:textId="77777777" w:rsidR="006F3EEE" w:rsidRDefault="006F3EEE" w:rsidP="006F3EEE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Тема 4.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Теорії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наратологічного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вивчення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тексту М.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Бахтіна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В.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Проппа.Теорії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діалогізму</w:t>
            </w:r>
            <w:proofErr w:type="spellEnd"/>
            <w:r>
              <w:rPr>
                <w:rFonts w:cs="Times New Roman"/>
                <w:sz w:val="27"/>
                <w:szCs w:val="27"/>
              </w:rPr>
              <w:t>” та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поліфонізму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 М.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Бахтіна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Хронотоп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як 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формотворча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категорія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художнього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твору</w:t>
            </w:r>
            <w:proofErr w:type="spellEnd"/>
            <w:r>
              <w:rPr>
                <w:rFonts w:cs="Times New Roman"/>
                <w:sz w:val="27"/>
                <w:szCs w:val="27"/>
              </w:rPr>
              <w:t>.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Морфологія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чарівної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казки</w:t>
            </w:r>
            <w:proofErr w:type="spellEnd"/>
            <w:r>
              <w:rPr>
                <w:rFonts w:cs="Times New Roman"/>
                <w:sz w:val="27"/>
                <w:szCs w:val="27"/>
              </w:rPr>
              <w:t>”,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Історичне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коріння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чарівної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казки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В.Проппа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</w:p>
          <w:p w14:paraId="0307BD75" w14:textId="77777777" w:rsidR="006F3EEE" w:rsidRDefault="006F3EEE" w:rsidP="006F3EEE">
            <w:pPr>
              <w:spacing w:after="0" w:line="276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Тема 5.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Теорії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наратологічного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вивчення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тексту В.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Шкловського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Б.Томашевсь</w:t>
            </w:r>
            <w:proofErr w:type="spellEnd"/>
            <w:r>
              <w:rPr>
                <w:rFonts w:cs="Times New Roman"/>
                <w:sz w:val="27"/>
                <w:szCs w:val="27"/>
              </w:rPr>
              <w:t>-кого.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Теорія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фабули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 та “сюжету”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В.Шкловського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поняття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остранение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Основні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положення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праці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Б. В. </w:t>
            </w:r>
            <w:proofErr w:type="spellStart"/>
            <w:proofErr w:type="gramStart"/>
            <w:r>
              <w:rPr>
                <w:rFonts w:cs="Times New Roman"/>
                <w:sz w:val="27"/>
                <w:szCs w:val="27"/>
              </w:rPr>
              <w:t>Томашевського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 “</w:t>
            </w:r>
            <w:proofErr w:type="spellStart"/>
            <w:proofErr w:type="gramEnd"/>
            <w:r>
              <w:rPr>
                <w:rFonts w:cs="Times New Roman"/>
                <w:sz w:val="27"/>
                <w:szCs w:val="27"/>
              </w:rPr>
              <w:t>Теорія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 </w:t>
            </w:r>
            <w:proofErr w:type="spellStart"/>
            <w:r>
              <w:rPr>
                <w:rFonts w:cs="Times New Roman"/>
                <w:sz w:val="27"/>
                <w:szCs w:val="27"/>
              </w:rPr>
              <w:t>літератури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Поетика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”. </w:t>
            </w:r>
          </w:p>
          <w:p w14:paraId="5AFBDB03" w14:textId="77777777" w:rsidR="006F3EEE" w:rsidRDefault="006F3EEE" w:rsidP="006F3EEE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Тема 6.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Французький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структуралізм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і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Засновник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французького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структуралізму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Цвєтан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Тодоров.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Внесок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Ц. Тодорова у 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формування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Основні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положення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теорії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символу  </w:t>
            </w:r>
            <w:proofErr w:type="spellStart"/>
            <w:r>
              <w:rPr>
                <w:rFonts w:cs="Times New Roman"/>
                <w:sz w:val="27"/>
                <w:szCs w:val="27"/>
              </w:rPr>
              <w:t>Ц.Тодорова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</w:p>
          <w:p w14:paraId="0B0DF410" w14:textId="77777777" w:rsidR="006F3EEE" w:rsidRDefault="006F3EEE" w:rsidP="006F3EEE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lastRenderedPageBreak/>
              <w:t xml:space="preserve">Тема 7.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Наратологічна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концепція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Жерара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Женетта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Жерар </w:t>
            </w:r>
            <w:proofErr w:type="spellStart"/>
            <w:r>
              <w:rPr>
                <w:rFonts w:cs="Times New Roman"/>
                <w:sz w:val="27"/>
                <w:szCs w:val="27"/>
              </w:rPr>
              <w:t>Женетт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як теоретик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наратологічного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вчення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Поняття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“дискурса” та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фокализотора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 у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працях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Ж.Женетта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  <w:p w14:paraId="3158B87E" w14:textId="77777777" w:rsidR="006F3EEE" w:rsidRDefault="006F3EEE" w:rsidP="006F3EEE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Тема 8</w:t>
            </w:r>
            <w:r>
              <w:rPr>
                <w:rFonts w:cs="Times New Roman"/>
                <w:sz w:val="27"/>
                <w:szCs w:val="27"/>
              </w:rPr>
              <w:t xml:space="preserve">. Типи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нараторів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</w:t>
            </w:r>
            <w:proofErr w:type="spellStart"/>
            <w:proofErr w:type="gramStart"/>
            <w:r>
              <w:rPr>
                <w:rFonts w:cs="Times New Roman"/>
                <w:sz w:val="27"/>
                <w:szCs w:val="27"/>
              </w:rPr>
              <w:t>фокалізаторів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 за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 Ж.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Женеттом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Основні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положення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праць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Ж.Женетта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Фігури</w:t>
            </w:r>
            <w:proofErr w:type="spellEnd"/>
            <w:r>
              <w:rPr>
                <w:rFonts w:cs="Times New Roman"/>
                <w:sz w:val="27"/>
                <w:szCs w:val="27"/>
              </w:rPr>
              <w:t>”,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Оповідний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дискурс".</w:t>
            </w:r>
          </w:p>
          <w:p w14:paraId="33AA99D5" w14:textId="77777777" w:rsidR="006F3EEE" w:rsidRDefault="006F3EEE" w:rsidP="006F3EEE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Тема 9. </w:t>
            </w:r>
            <w:r>
              <w:rPr>
                <w:rFonts w:cs="Times New Roman"/>
                <w:sz w:val="27"/>
                <w:szCs w:val="27"/>
              </w:rPr>
              <w:t xml:space="preserve">Точка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зору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як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наратологічна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категорія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Типи </w:t>
            </w:r>
            <w:proofErr w:type="spellStart"/>
            <w:proofErr w:type="gramStart"/>
            <w:r>
              <w:rPr>
                <w:rFonts w:cs="Times New Roman"/>
                <w:sz w:val="27"/>
                <w:szCs w:val="27"/>
              </w:rPr>
              <w:t>фокалізації.Теоретичне</w:t>
            </w:r>
            <w:proofErr w:type="spellEnd"/>
            <w:proofErr w:type="gram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обґрунтування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поняття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“точка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зору</w:t>
            </w:r>
            <w:proofErr w:type="spellEnd"/>
            <w:r>
              <w:rPr>
                <w:rFonts w:cs="Times New Roman"/>
                <w:sz w:val="27"/>
                <w:szCs w:val="27"/>
              </w:rPr>
              <w:t>”, “перспектива”, “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фокалізація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” (Ф.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Штанцель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Ж.Женетт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Б.Успенський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). Модель точки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зору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Подія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як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об’єкт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точки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зору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Плани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точки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зору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Внутрішня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зовнішня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фокалізації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  <w:p w14:paraId="32DC54F9" w14:textId="77777777" w:rsidR="006F3EEE" w:rsidRDefault="006F3EEE" w:rsidP="006F3EEE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Тема 10.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Типологія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наратора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Наратор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як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оповідна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інстанція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Експліцитне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імпліцитне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зображення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наратора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Чотиричленна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типологія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нараторів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Ж.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Женетта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Класифікація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типів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нараторів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за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В.Шмідом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  <w:p w14:paraId="49B4B111" w14:textId="77777777" w:rsidR="006F3EEE" w:rsidRDefault="006F3EEE" w:rsidP="006F3EEE">
            <w:pPr>
              <w:spacing w:after="0" w:line="276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Тема 11.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Основні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напрямки </w:t>
            </w:r>
            <w:proofErr w:type="spellStart"/>
            <w:r>
              <w:rPr>
                <w:rFonts w:cs="Times New Roman"/>
                <w:sz w:val="27"/>
                <w:szCs w:val="27"/>
              </w:rPr>
              <w:t>сучасної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Теорії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наративу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 xml:space="preserve"> </w:t>
            </w:r>
            <w:r>
              <w:rPr>
                <w:rFonts w:cs="Times New Roman"/>
                <w:sz w:val="27"/>
                <w:szCs w:val="27"/>
              </w:rPr>
              <w:t>В</w:t>
            </w:r>
            <w:r>
              <w:rPr>
                <w:rFonts w:cs="Times New Roman"/>
                <w:sz w:val="27"/>
                <w:szCs w:val="27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Шміда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Наратологія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 xml:space="preserve">), </w:t>
            </w:r>
            <w:r>
              <w:rPr>
                <w:rFonts w:cs="Times New Roman"/>
                <w:sz w:val="27"/>
                <w:szCs w:val="27"/>
              </w:rPr>
              <w:t>М</w:t>
            </w:r>
            <w:r>
              <w:rPr>
                <w:rFonts w:cs="Times New Roman"/>
                <w:sz w:val="27"/>
                <w:szCs w:val="27"/>
                <w:lang w:val="en-US"/>
              </w:rPr>
              <w:t xml:space="preserve">. </w:t>
            </w:r>
            <w:r>
              <w:rPr>
                <w:rFonts w:cs="Times New Roman"/>
                <w:sz w:val="27"/>
                <w:szCs w:val="27"/>
              </w:rPr>
              <w:t>Бал</w:t>
            </w:r>
            <w:r>
              <w:rPr>
                <w:rFonts w:cs="Times New Roman"/>
                <w:sz w:val="27"/>
                <w:szCs w:val="27"/>
                <w:lang w:val="en-US"/>
              </w:rPr>
              <w:t xml:space="preserve"> (Narratology: Introduction to the Theory of Narrative),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Моніка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Флудернік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 xml:space="preserve"> (An Introduction to Narratology).</w:t>
            </w:r>
          </w:p>
        </w:tc>
      </w:tr>
      <w:tr w:rsidR="006F3EEE" w14:paraId="13919363" w14:textId="77777777" w:rsidTr="00292155">
        <w:tc>
          <w:tcPr>
            <w:tcW w:w="2802" w:type="dxa"/>
            <w:shd w:val="clear" w:color="auto" w:fill="DAEEF3" w:themeFill="accent5" w:themeFillTint="33"/>
          </w:tcPr>
          <w:p w14:paraId="1040D081" w14:textId="239B4AE6" w:rsidR="006F3EEE" w:rsidRDefault="006F3EEE" w:rsidP="006F3EEE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78393C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lastRenderedPageBreak/>
              <w:t>Методи навчання</w:t>
            </w:r>
            <w:r w:rsidRPr="0078393C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14:paraId="218B9A97" w14:textId="77777777" w:rsidR="006F3EEE" w:rsidRDefault="006F3EEE" w:rsidP="006F3EEE">
            <w:pPr>
              <w:spacing w:after="0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Словесні</w:t>
            </w:r>
            <w:r>
              <w:rPr>
                <w:rFonts w:cs="Times New Roman"/>
                <w:sz w:val="27"/>
                <w:szCs w:val="27"/>
                <w:lang w:val="uk-UA"/>
              </w:rPr>
              <w:t>: пояснення, бесіда.</w:t>
            </w:r>
          </w:p>
          <w:p w14:paraId="03B64F67" w14:textId="77777777" w:rsidR="006F3EEE" w:rsidRDefault="006F3EEE" w:rsidP="006F3EEE">
            <w:pPr>
              <w:spacing w:after="0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Наочні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: </w:t>
            </w:r>
            <w:proofErr w:type="spellStart"/>
            <w:r>
              <w:rPr>
                <w:rFonts w:cs="Times New Roman"/>
                <w:sz w:val="27"/>
                <w:szCs w:val="27"/>
                <w:lang w:val="en-US"/>
              </w:rPr>
              <w:t>Powerpoint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презентація результатів самостійної роботи.</w:t>
            </w:r>
          </w:p>
          <w:p w14:paraId="0410CCE8" w14:textId="77777777" w:rsidR="006F3EEE" w:rsidRDefault="006F3EEE" w:rsidP="006F3EEE">
            <w:pPr>
              <w:spacing w:after="0"/>
              <w:jc w:val="both"/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b/>
                <w:sz w:val="27"/>
                <w:szCs w:val="27"/>
              </w:rPr>
              <w:t>Практичні</w:t>
            </w:r>
            <w:proofErr w:type="spellEnd"/>
            <w:r>
              <w:rPr>
                <w:rFonts w:cs="Times New Roman"/>
                <w:b/>
                <w:sz w:val="27"/>
                <w:szCs w:val="27"/>
              </w:rPr>
              <w:t>: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підготовка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і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виступи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з </w:t>
            </w:r>
            <w:proofErr w:type="spellStart"/>
            <w:r>
              <w:rPr>
                <w:rFonts w:cs="Times New Roman"/>
                <w:sz w:val="27"/>
                <w:szCs w:val="27"/>
              </w:rPr>
              <w:t>доповідями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рефератами,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обговорення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доповідей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cs="Times New Roman"/>
                <w:sz w:val="27"/>
                <w:szCs w:val="27"/>
              </w:rPr>
              <w:t>рефератів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написання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наратологічного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дослідження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</w:tc>
      </w:tr>
      <w:tr w:rsidR="006F3EEE" w14:paraId="558F278F" w14:textId="77777777" w:rsidTr="00292155">
        <w:trPr>
          <w:trHeight w:val="4951"/>
        </w:trPr>
        <w:tc>
          <w:tcPr>
            <w:tcW w:w="2802" w:type="dxa"/>
            <w:shd w:val="clear" w:color="auto" w:fill="DAEEF3" w:themeFill="accent5" w:themeFillTint="33"/>
          </w:tcPr>
          <w:p w14:paraId="17952682" w14:textId="77777777" w:rsidR="006F3EEE" w:rsidRPr="0078393C" w:rsidRDefault="006F3EEE" w:rsidP="006F3EEE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78393C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Рекомендована література:</w:t>
            </w:r>
          </w:p>
          <w:p w14:paraId="0D95B8BF" w14:textId="77777777" w:rsidR="006F3EEE" w:rsidRDefault="006F3EEE" w:rsidP="006F3EEE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</w:tcPr>
          <w:p w14:paraId="43DD1D60" w14:textId="77777777" w:rsidR="006F3EEE" w:rsidRDefault="006F3EEE" w:rsidP="006F3E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Основна</w:t>
            </w:r>
          </w:p>
          <w:p w14:paraId="14BCC93D" w14:textId="77777777" w:rsidR="006F3EEE" w:rsidRDefault="006F3EEE" w:rsidP="006F3EEE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317" w:hanging="284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Папуша І.  </w:t>
            </w:r>
            <w:proofErr w:type="spellStart"/>
            <w:r>
              <w:rPr>
                <w:rFonts w:cs="Times New Roman"/>
                <w:sz w:val="27"/>
                <w:szCs w:val="27"/>
              </w:rPr>
              <w:t>Modus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ponens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Нариси з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наратології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Тернопіль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: Крок. 2013. 260 с.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80E913" w14:textId="77777777" w:rsidR="006F3EEE" w:rsidRDefault="006F3EEE" w:rsidP="006F3EEE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317" w:hanging="284"/>
              <w:contextualSpacing w:val="0"/>
              <w:rPr>
                <w:rFonts w:cs="Times New Roman"/>
                <w:sz w:val="27"/>
                <w:szCs w:val="27"/>
                <w:lang w:val="en-US"/>
              </w:rPr>
            </w:pPr>
            <w:r>
              <w:rPr>
                <w:rFonts w:cs="Times New Roman"/>
                <w:sz w:val="27"/>
                <w:szCs w:val="27"/>
                <w:lang w:val="en-US"/>
              </w:rPr>
              <w:t>Bal M.  Introduction to the Theory of Narrative. University of Toronto Press. 2017. 206 p.</w:t>
            </w:r>
          </w:p>
          <w:p w14:paraId="517A556B" w14:textId="77777777" w:rsidR="006F3EEE" w:rsidRDefault="006F3EEE" w:rsidP="006F3EEE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317" w:hanging="284"/>
              <w:contextualSpacing w:val="0"/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val="en-US"/>
              </w:rPr>
              <w:t>Hühn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 xml:space="preserve"> P., Meister J.  Handbook of Narratology. De Gruyter. 2014. 932p.</w:t>
            </w:r>
          </w:p>
          <w:p w14:paraId="5D2BC9B4" w14:textId="77777777" w:rsidR="006F3EEE" w:rsidRDefault="006F3EEE" w:rsidP="006F3EEE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317" w:hanging="284"/>
              <w:contextualSpacing w:val="0"/>
              <w:rPr>
                <w:rFonts w:cs="Times New Roman"/>
                <w:sz w:val="27"/>
                <w:szCs w:val="27"/>
                <w:lang w:val="en-US"/>
              </w:rPr>
            </w:pPr>
            <w:r>
              <w:rPr>
                <w:rFonts w:cs="Times New Roman"/>
                <w:sz w:val="27"/>
                <w:szCs w:val="27"/>
                <w:lang w:val="en-US"/>
              </w:rPr>
              <w:t>The Cambridge Companion to Narrative Theory. Cambridge University Press. 2018. 298 p.</w:t>
            </w:r>
          </w:p>
          <w:p w14:paraId="73E5E471" w14:textId="77777777" w:rsidR="006F3EEE" w:rsidRDefault="006F3EEE" w:rsidP="006F3EE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  <w:p w14:paraId="5579AC06" w14:textId="77777777" w:rsidR="006F3EEE" w:rsidRDefault="006F3EEE" w:rsidP="006F3EEE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Додаткова</w:t>
            </w:r>
          </w:p>
          <w:p w14:paraId="37C94E74" w14:textId="77777777" w:rsidR="006F3EEE" w:rsidRDefault="006F3EEE" w:rsidP="006F3EEE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317" w:hanging="284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Barkhuizen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G.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Narrative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Research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in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Applied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Linguistics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Cambridge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University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Press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>. 2013. 292 p.</w:t>
            </w:r>
          </w:p>
          <w:p w14:paraId="40D37DAD" w14:textId="77777777" w:rsidR="006F3EEE" w:rsidRDefault="006F3EEE" w:rsidP="006F3EEE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317" w:hanging="284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Meadowsong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Z. 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Narrative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Machine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: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The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Naturalist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Modernist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and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Postmodermist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Novel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London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: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Routledge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>. 2018. 268 p.</w:t>
            </w:r>
          </w:p>
          <w:p w14:paraId="0C891EE8" w14:textId="77777777" w:rsidR="006F3EEE" w:rsidRDefault="006F3EEE" w:rsidP="006F3EEE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317" w:hanging="284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lastRenderedPageBreak/>
              <w:t>Phelan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J.,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Herman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D. 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Teaching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Narrative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Theory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New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York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:  MLA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Publications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>. 2010. 332 p.</w:t>
            </w:r>
          </w:p>
          <w:p w14:paraId="03736195" w14:textId="77777777" w:rsidR="006F3EEE" w:rsidRDefault="006F3EEE" w:rsidP="006F3EEE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ind w:left="317" w:hanging="284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White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M. 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Narrative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Therapy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Classics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Dulwich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Centre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Publications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 xml:space="preserve">. 2016. 232p. </w:t>
            </w:r>
          </w:p>
          <w:p w14:paraId="7C73468D" w14:textId="77777777" w:rsidR="006F3EEE" w:rsidRDefault="006F3EEE" w:rsidP="006F3EEE">
            <w:pPr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  <w:p w14:paraId="6D667C9E" w14:textId="77777777" w:rsidR="006F3EEE" w:rsidRDefault="006F3EEE" w:rsidP="006F3EEE">
            <w:pPr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Електронні інформаційні ресурси</w:t>
            </w:r>
          </w:p>
          <w:p w14:paraId="0FC79ABC" w14:textId="77777777" w:rsidR="006F3EEE" w:rsidRDefault="006F3EEE" w:rsidP="006F3EEE">
            <w:pPr>
              <w:pStyle w:val="a8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Наукова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бібліотека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ОНУ:</w:t>
            </w:r>
          </w:p>
          <w:p w14:paraId="7787CFF9" w14:textId="77777777" w:rsidR="006F3EEE" w:rsidRDefault="006F3EEE" w:rsidP="006F3EEE">
            <w:pPr>
              <w:pStyle w:val="a8"/>
              <w:spacing w:before="0" w:beforeAutospacing="0" w:after="0" w:afterAutospacing="0"/>
              <w:ind w:firstLine="708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загальний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електронний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каталог НБ ОНУ:</w:t>
            </w:r>
            <w:r>
              <w:rPr>
                <w:color w:val="000000"/>
                <w:sz w:val="27"/>
                <w:szCs w:val="27"/>
                <w:lang w:val="en-US"/>
              </w:rPr>
              <w:t> http</w:t>
            </w:r>
            <w:r>
              <w:rPr>
                <w:color w:val="000000"/>
                <w:sz w:val="27"/>
                <w:szCs w:val="27"/>
              </w:rPr>
              <w:t>://</w:t>
            </w:r>
            <w:r>
              <w:rPr>
                <w:color w:val="000000"/>
                <w:sz w:val="27"/>
                <w:szCs w:val="27"/>
                <w:lang w:val="en-US"/>
              </w:rPr>
              <w:t>lib</w:t>
            </w:r>
            <w:r>
              <w:rPr>
                <w:color w:val="000000"/>
                <w:sz w:val="27"/>
                <w:szCs w:val="27"/>
              </w:rPr>
              <w:t>.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onu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edu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elek</w:t>
            </w:r>
            <w:r>
              <w:rPr>
                <w:color w:val="000000"/>
                <w:sz w:val="27"/>
                <w:szCs w:val="27"/>
              </w:rPr>
              <w:t>tronnyj-katalog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/  </w:t>
            </w:r>
          </w:p>
          <w:p w14:paraId="30426DB5" w14:textId="77777777" w:rsidR="006F3EEE" w:rsidRDefault="006F3EEE" w:rsidP="006F3EEE">
            <w:pPr>
              <w:pStyle w:val="a8"/>
              <w:spacing w:before="0" w:beforeAutospacing="0" w:after="0" w:afterAutospacing="0"/>
              <w:ind w:firstLine="708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електронна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бібліотека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підручників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hyperlink r:id="rId9" w:history="1">
              <w:r>
                <w:rPr>
                  <w:rStyle w:val="a7"/>
                  <w:sz w:val="27"/>
                  <w:szCs w:val="27"/>
                </w:rPr>
                <w:t>http://lib.onu.edu.ua/elektronnaya-biblioteka-uchebnikov/</w:t>
              </w:r>
            </w:hyperlink>
          </w:p>
          <w:p w14:paraId="7F77821B" w14:textId="77777777" w:rsidR="006F3EEE" w:rsidRDefault="006F3EEE" w:rsidP="006F3EEE">
            <w:pPr>
              <w:pStyle w:val="a8"/>
              <w:spacing w:before="0" w:beforeAutospacing="0" w:after="0" w:afterAutospacing="0"/>
              <w:ind w:firstLine="708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навчальні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методичні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матеріали</w:t>
            </w:r>
            <w:proofErr w:type="spellEnd"/>
            <w:r>
              <w:rPr>
                <w:color w:val="000000"/>
                <w:sz w:val="27"/>
                <w:szCs w:val="27"/>
              </w:rPr>
              <w:t>: http://lib.onu.edu.ua/rgf/</w:t>
            </w:r>
          </w:p>
          <w:p w14:paraId="26C73F58" w14:textId="77777777" w:rsidR="006F3EEE" w:rsidRDefault="006F3EEE" w:rsidP="006F3EEE">
            <w:pPr>
              <w:pStyle w:val="a8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  <w:p w14:paraId="44D5DE6C" w14:textId="77777777" w:rsidR="006F3EEE" w:rsidRDefault="006F3EEE" w:rsidP="006F3EEE">
            <w:pPr>
              <w:pStyle w:val="a8"/>
              <w:spacing w:before="0" w:beforeAutospacing="0" w:after="0" w:afterAutospacing="0"/>
              <w:rPr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Електронна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бібліотека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«УКРАЇНІКА»  </w:t>
            </w:r>
            <w:hyperlink r:id="rId10" w:history="1">
              <w:r>
                <w:rPr>
                  <w:rStyle w:val="a7"/>
                  <w:sz w:val="27"/>
                  <w:szCs w:val="27"/>
                </w:rPr>
                <w:t>http://irbis-nbuv.gov.ua</w:t>
              </w:r>
            </w:hyperlink>
          </w:p>
          <w:p w14:paraId="5BC2ABB3" w14:textId="77777777" w:rsidR="006F3EEE" w:rsidRDefault="006F3EEE" w:rsidP="006F3EEE">
            <w:pPr>
              <w:pStyle w:val="a8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  <w:p w14:paraId="5641E365" w14:textId="77777777" w:rsidR="006F3EEE" w:rsidRDefault="006F3EEE" w:rsidP="006F3EEE">
            <w:pPr>
              <w:pStyle w:val="a8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Сайт </w:t>
            </w:r>
            <w:proofErr w:type="spellStart"/>
            <w:r>
              <w:rPr>
                <w:color w:val="000000"/>
                <w:sz w:val="27"/>
                <w:szCs w:val="27"/>
              </w:rPr>
              <w:t>бібліотеки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ім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В. І. </w:t>
            </w:r>
            <w:proofErr w:type="spellStart"/>
            <w:r>
              <w:rPr>
                <w:color w:val="000000"/>
                <w:sz w:val="27"/>
                <w:szCs w:val="27"/>
              </w:rPr>
              <w:t>Вернадського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  <w:hyperlink r:id="rId11" w:history="1">
              <w:r>
                <w:rPr>
                  <w:rStyle w:val="a7"/>
                  <w:sz w:val="27"/>
                  <w:szCs w:val="27"/>
                </w:rPr>
                <w:t>http://www.nbuv.gov.ua/</w:t>
              </w:r>
            </w:hyperlink>
          </w:p>
          <w:p w14:paraId="38BD6CB6" w14:textId="77777777" w:rsidR="006F3EEE" w:rsidRDefault="006F3EEE" w:rsidP="006F3EEE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color w:val="1155CC"/>
                <w:sz w:val="27"/>
                <w:szCs w:val="27"/>
                <w:u w:val="single"/>
              </w:rPr>
              <w:t>http://yanko.lib.ua/books/cultur/shmid-narratology.pdf</w:t>
            </w:r>
          </w:p>
          <w:p w14:paraId="560065D9" w14:textId="77777777" w:rsidR="006F3EEE" w:rsidRDefault="006F3EEE" w:rsidP="006F3EEE">
            <w:pPr>
              <w:jc w:val="both"/>
              <w:rPr>
                <w:rFonts w:cs="Times New Roman"/>
                <w:sz w:val="27"/>
                <w:szCs w:val="27"/>
              </w:rPr>
            </w:pPr>
            <w:hyperlink r:id="rId12">
              <w:r>
                <w:rPr>
                  <w:rFonts w:cs="Times New Roman"/>
                  <w:color w:val="1155CC"/>
                  <w:sz w:val="27"/>
                  <w:szCs w:val="27"/>
                  <w:u w:val="single"/>
                </w:rPr>
                <w:t>https://www.semanticscholar.org/paper/Narratology%3A-Introduction-to-the-</w:t>
              </w:r>
            </w:hyperlink>
            <w:r>
              <w:rPr>
                <w:rFonts w:cs="Times New Roman"/>
                <w:sz w:val="27"/>
                <w:szCs w:val="27"/>
              </w:rPr>
              <w:t xml:space="preserve">   </w:t>
            </w:r>
          </w:p>
          <w:p w14:paraId="6850069A" w14:textId="77777777" w:rsidR="006F3EEE" w:rsidRDefault="006F3EEE" w:rsidP="006F3EEE">
            <w:pPr>
              <w:jc w:val="both"/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Theory-of-Scheh</w:t>
            </w:r>
            <w:proofErr w:type="spellEnd"/>
            <w:r>
              <w:rPr>
                <w:rFonts w:cs="Times New Roman"/>
                <w:sz w:val="27"/>
                <w:szCs w:val="27"/>
                <w:lang w:val="en-US"/>
              </w:rPr>
              <w:t>r</w:t>
            </w:r>
            <w:r>
              <w:rPr>
                <w:rFonts w:cs="Times New Roman"/>
                <w:sz w:val="27"/>
                <w:szCs w:val="27"/>
              </w:rPr>
              <w:t>-</w:t>
            </w:r>
            <w:proofErr w:type="spellStart"/>
            <w:r>
              <w:rPr>
                <w:rFonts w:cs="Times New Roman"/>
                <w:sz w:val="27"/>
                <w:szCs w:val="27"/>
              </w:rPr>
              <w:t>Boheemen</w:t>
            </w:r>
            <w:proofErr w:type="spellEnd"/>
            <w:r>
              <w:rPr>
                <w:rFonts w:cs="Times New Roman"/>
                <w:sz w:val="27"/>
                <w:szCs w:val="27"/>
              </w:rPr>
              <w:t>/94a3b9a5f6f349d4c57195a7ac0dad8c2ac2868</w:t>
            </w:r>
          </w:p>
          <w:p w14:paraId="611A3ACE" w14:textId="77777777" w:rsidR="006F3EEE" w:rsidRDefault="006F3EEE" w:rsidP="006F3EEE">
            <w:pPr>
              <w:jc w:val="both"/>
              <w:rPr>
                <w:rFonts w:cs="Times New Roman"/>
                <w:sz w:val="27"/>
                <w:szCs w:val="27"/>
              </w:rPr>
            </w:pPr>
            <w:hyperlink r:id="rId13">
              <w:r>
                <w:rPr>
                  <w:rFonts w:cs="Times New Roman"/>
                  <w:color w:val="1155CC"/>
                  <w:sz w:val="27"/>
                  <w:szCs w:val="27"/>
                  <w:u w:val="single"/>
                </w:rPr>
                <w:t xml:space="preserve">https://sites.google.com/iobook.synergize.co/bcbooko18/epubpdf-read-routledge-     </w:t>
              </w:r>
            </w:hyperlink>
          </w:p>
          <w:p w14:paraId="464ECA27" w14:textId="77777777" w:rsidR="006F3EEE" w:rsidRDefault="006F3EEE" w:rsidP="006F3EEE">
            <w:pPr>
              <w:jc w:val="both"/>
              <w:rPr>
                <w:rFonts w:cs="Times New Roman"/>
                <w:sz w:val="27"/>
                <w:szCs w:val="27"/>
              </w:rPr>
            </w:pPr>
            <w:hyperlink r:id="rId14">
              <w:r>
                <w:rPr>
                  <w:rFonts w:cs="Times New Roman"/>
                  <w:color w:val="1155CC"/>
                  <w:sz w:val="27"/>
                  <w:szCs w:val="27"/>
                  <w:u w:val="single"/>
                </w:rPr>
                <w:t>encyclopedia-of-narrative-theory-by-david-herman-books-on-pc</w:t>
              </w:r>
            </w:hyperlink>
            <w:hyperlink r:id="rId15">
              <w:r>
                <w:rPr>
                  <w:rFonts w:cs="Times New Roman"/>
                  <w:color w:val="1155CC"/>
                  <w:sz w:val="27"/>
                  <w:szCs w:val="27"/>
                  <w:u w:val="single"/>
                </w:rPr>
                <w:t>https://www.perlego.com/book/652891/handbook-of-narrat</w:t>
              </w:r>
            </w:hyperlink>
            <w:r>
              <w:rPr>
                <w:rFonts w:cs="Times New Roman"/>
                <w:sz w:val="27"/>
                <w:szCs w:val="27"/>
              </w:rPr>
              <w:t>ology.</w:t>
            </w:r>
          </w:p>
          <w:p w14:paraId="57AE016C" w14:textId="77777777" w:rsidR="006F3EEE" w:rsidRDefault="006F3EEE" w:rsidP="006F3EEE">
            <w:pPr>
              <w:jc w:val="both"/>
              <w:rPr>
                <w:rFonts w:cs="Times New Roman"/>
                <w:sz w:val="27"/>
                <w:szCs w:val="27"/>
              </w:rPr>
            </w:pPr>
            <w:hyperlink r:id="rId16">
              <w:r>
                <w:rPr>
                  <w:rFonts w:cs="Times New Roman"/>
                  <w:color w:val="1155CC"/>
                  <w:sz w:val="27"/>
                  <w:szCs w:val="27"/>
                  <w:u w:val="single"/>
                </w:rPr>
                <w:t>https://www.ivorgoodson.com/towards-a-theory-of-narrative-learning</w:t>
              </w:r>
            </w:hyperlink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  <w:p w14:paraId="49798279" w14:textId="77777777" w:rsidR="006F3EEE" w:rsidRDefault="006F3EEE" w:rsidP="006F3EEE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  <w:lang w:val="de-DE"/>
              </w:rPr>
              <w:t>https</w:t>
            </w:r>
            <w:r>
              <w:rPr>
                <w:rFonts w:cs="Times New Roman"/>
                <w:sz w:val="27"/>
                <w:szCs w:val="27"/>
                <w:lang w:val="en-US"/>
              </w:rPr>
              <w:t>:</w:t>
            </w:r>
            <w:r>
              <w:rPr>
                <w:rFonts w:cs="Times New Roman"/>
                <w:sz w:val="27"/>
                <w:szCs w:val="27"/>
              </w:rPr>
              <w:t>//</w:t>
            </w:r>
            <w:r>
              <w:rPr>
                <w:rFonts w:cs="Times New Roman"/>
                <w:sz w:val="27"/>
                <w:szCs w:val="27"/>
                <w:lang w:val="en-US"/>
              </w:rPr>
              <w:t>www.narratology.net</w:t>
            </w:r>
            <w:r>
              <w:rPr>
                <w:rFonts w:cs="Times New Roman"/>
                <w:sz w:val="27"/>
                <w:szCs w:val="27"/>
              </w:rPr>
              <w:t xml:space="preserve">                                                                             </w:t>
            </w:r>
          </w:p>
        </w:tc>
      </w:tr>
      <w:tr w:rsidR="006F3EEE" w14:paraId="0F66BC1A" w14:textId="77777777" w:rsidTr="00331FA9">
        <w:tc>
          <w:tcPr>
            <w:tcW w:w="28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FED7D5A" w14:textId="4E8FEBE5" w:rsidR="006F3EEE" w:rsidRDefault="006F3EEE" w:rsidP="006F3EEE">
            <w:pPr>
              <w:spacing w:after="0" w:line="240" w:lineRule="auto"/>
              <w:rPr>
                <w:rFonts w:cs="Times New Roman"/>
                <w:bCs/>
                <w:sz w:val="27"/>
                <w:szCs w:val="27"/>
                <w:lang w:val="uk-UA"/>
              </w:rPr>
            </w:pPr>
            <w:r w:rsidRPr="0078393C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lastRenderedPageBreak/>
              <w:t>Оцінювання</w:t>
            </w:r>
            <w:r w:rsidRPr="0078393C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14:paraId="04EECED3" w14:textId="77777777" w:rsidR="006F3EEE" w:rsidRDefault="006F3EEE" w:rsidP="006F3EEE">
            <w:pPr>
              <w:pStyle w:val="1984"/>
              <w:widowControl w:val="0"/>
              <w:spacing w:before="0" w:beforeAutospacing="0" w:after="0" w:afterAutospacing="0"/>
              <w:ind w:firstLine="317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Поточний</w:t>
            </w:r>
            <w:proofErr w:type="spellEnd"/>
            <w:r>
              <w:rPr>
                <w:sz w:val="27"/>
                <w:szCs w:val="27"/>
              </w:rPr>
              <w:t xml:space="preserve"> контроль: </w:t>
            </w:r>
            <w:proofErr w:type="spellStart"/>
            <w:r>
              <w:rPr>
                <w:sz w:val="27"/>
                <w:szCs w:val="27"/>
              </w:rPr>
              <w:t>оцінювання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усних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відповідей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під</w:t>
            </w:r>
            <w:proofErr w:type="spellEnd"/>
            <w:r>
              <w:rPr>
                <w:sz w:val="27"/>
                <w:szCs w:val="27"/>
              </w:rPr>
              <w:t xml:space="preserve"> час </w:t>
            </w:r>
            <w:proofErr w:type="spellStart"/>
            <w:r>
              <w:rPr>
                <w:sz w:val="27"/>
                <w:szCs w:val="27"/>
              </w:rPr>
              <w:t>практичних</w:t>
            </w:r>
            <w:proofErr w:type="spellEnd"/>
            <w:r>
              <w:rPr>
                <w:sz w:val="27"/>
                <w:szCs w:val="27"/>
              </w:rPr>
              <w:t xml:space="preserve"> занять, </w:t>
            </w:r>
            <w:proofErr w:type="spellStart"/>
            <w:r>
              <w:rPr>
                <w:sz w:val="27"/>
                <w:szCs w:val="27"/>
              </w:rPr>
              <w:t>усних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доповідей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  <w:lang w:val="uk-UA"/>
              </w:rPr>
              <w:t xml:space="preserve">презентацій, рефератів, </w:t>
            </w:r>
            <w:proofErr w:type="spellStart"/>
            <w:r>
              <w:rPr>
                <w:sz w:val="27"/>
                <w:szCs w:val="27"/>
              </w:rPr>
              <w:t>індивідуальних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письмових </w:t>
            </w:r>
            <w:proofErr w:type="spellStart"/>
            <w:r>
              <w:rPr>
                <w:sz w:val="27"/>
                <w:szCs w:val="27"/>
              </w:rPr>
              <w:t>завдань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</w:p>
          <w:p w14:paraId="58812222" w14:textId="77777777" w:rsidR="006F3EEE" w:rsidRDefault="006F3EEE" w:rsidP="006F3EEE">
            <w:pPr>
              <w:widowControl w:val="0"/>
              <w:ind w:firstLine="317"/>
              <w:jc w:val="both"/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Підсумковий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контроль: </w:t>
            </w:r>
            <w:proofErr w:type="spellStart"/>
            <w:r>
              <w:rPr>
                <w:rFonts w:cs="Times New Roman"/>
                <w:sz w:val="27"/>
                <w:szCs w:val="27"/>
              </w:rPr>
              <w:t>залік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  <w:p w14:paraId="6D075601" w14:textId="77777777" w:rsidR="006F3EEE" w:rsidRDefault="006F3EEE" w:rsidP="006F3EEE">
            <w:pPr>
              <w:widowControl w:val="0"/>
              <w:ind w:firstLine="317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У ході поточного контролю студент може отримати максимальну оцінку (100 балів) за кожну тему змістового модуля. Індивідуальне письмове завдання  також оцінюється в 100 балів. Загальна оцінка з навчальної дисципліни – це є середнє арифметичне суми балів за поточний контроль. </w:t>
            </w:r>
            <w:r>
              <w:rPr>
                <w:rFonts w:cs="Times New Roman"/>
                <w:sz w:val="27"/>
                <w:szCs w:val="27"/>
                <w:lang w:val="uk-UA"/>
              </w:rPr>
              <w:lastRenderedPageBreak/>
              <w:t>Здобувач вищої освіти одержує підсумкову оцінку, якщо за результатами поточного контролю він набрав за кожну тему 60 і більше балів.</w:t>
            </w:r>
          </w:p>
          <w:p w14:paraId="4D7B5488" w14:textId="77777777" w:rsidR="006F3EEE" w:rsidRDefault="006F3EEE" w:rsidP="006F3EEE">
            <w:pPr>
              <w:widowControl w:val="0"/>
              <w:spacing w:after="0" w:line="240" w:lineRule="auto"/>
              <w:ind w:firstLine="317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      </w:r>
            <w:r>
              <w:rPr>
                <w:rStyle w:val="xfm17244409"/>
                <w:rFonts w:cs="Times New Roman"/>
                <w:sz w:val="27"/>
                <w:szCs w:val="27"/>
              </w:rPr>
              <w:t xml:space="preserve">(див. </w:t>
            </w:r>
            <w:proofErr w:type="spellStart"/>
            <w:r>
              <w:rPr>
                <w:rStyle w:val="xfm17244409"/>
                <w:rFonts w:cs="Times New Roman"/>
                <w:sz w:val="27"/>
                <w:szCs w:val="27"/>
              </w:rPr>
              <w:t>Перелік</w:t>
            </w:r>
            <w:proofErr w:type="spellEnd"/>
            <w:r>
              <w:rPr>
                <w:rStyle w:val="xfm17244409"/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xfm17244409"/>
                <w:rFonts w:cs="Times New Roman"/>
                <w:sz w:val="27"/>
                <w:szCs w:val="27"/>
              </w:rPr>
              <w:t>питань</w:t>
            </w:r>
            <w:proofErr w:type="spellEnd"/>
            <w:r>
              <w:rPr>
                <w:rStyle w:val="xfm17244409"/>
                <w:rFonts w:cs="Times New Roman"/>
                <w:sz w:val="27"/>
                <w:szCs w:val="27"/>
              </w:rPr>
              <w:t xml:space="preserve"> для поточного контролю)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і з урахуванням його результатів одержати відповідну кількість залікових балів із дисципліни.</w:t>
            </w:r>
          </w:p>
        </w:tc>
      </w:tr>
      <w:tr w:rsidR="006F3EEE" w:rsidRPr="006F3EEE" w14:paraId="1B7D9AF5" w14:textId="77777777" w:rsidTr="00331FA9">
        <w:trPr>
          <w:trHeight w:val="2480"/>
        </w:trPr>
        <w:tc>
          <w:tcPr>
            <w:tcW w:w="2802" w:type="dxa"/>
            <w:tcBorders>
              <w:bottom w:val="nil"/>
            </w:tcBorders>
            <w:shd w:val="clear" w:color="auto" w:fill="DAEEF3" w:themeFill="accent5" w:themeFillTint="33"/>
          </w:tcPr>
          <w:p w14:paraId="02598683" w14:textId="77777777" w:rsidR="006F3EEE" w:rsidRPr="0078393C" w:rsidRDefault="006F3EEE" w:rsidP="006F3EEE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78393C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lastRenderedPageBreak/>
              <w:t>ПОЛІТИКА КУРСУ («правила гри»):</w:t>
            </w:r>
          </w:p>
          <w:p w14:paraId="3F8A0CA8" w14:textId="77777777" w:rsidR="006F3EEE" w:rsidRPr="0078393C" w:rsidRDefault="006F3EEE" w:rsidP="006F3EEE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  <w:r w:rsidRPr="0078393C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 xml:space="preserve">Відвідування занять Регуляція пропусків </w:t>
            </w:r>
          </w:p>
          <w:p w14:paraId="2E14644C" w14:textId="77777777" w:rsidR="006F3EEE" w:rsidRPr="0078393C" w:rsidRDefault="006F3EEE" w:rsidP="006F3EEE">
            <w:pPr>
              <w:rPr>
                <w:rFonts w:ascii="Times New Roman CYR" w:hAnsi="Times New Roman CYR"/>
                <w:sz w:val="26"/>
                <w:szCs w:val="26"/>
                <w:lang w:val="uk-UA"/>
              </w:rPr>
            </w:pPr>
          </w:p>
          <w:p w14:paraId="63285481" w14:textId="77777777" w:rsidR="006F3EEE" w:rsidRDefault="006F3EEE" w:rsidP="006F3EEE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D3EB64D" w14:textId="77777777" w:rsidR="006F3EEE" w:rsidRDefault="006F3EEE" w:rsidP="006F3EEE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Відвідування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занять є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обов’язковим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. В </w:t>
            </w:r>
            <w:proofErr w:type="spellStart"/>
            <w:r>
              <w:rPr>
                <w:rFonts w:cs="Times New Roman"/>
                <w:sz w:val="27"/>
                <w:szCs w:val="27"/>
              </w:rPr>
              <w:t>окремих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випадках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навчання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може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відбуватись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он-лайн з </w:t>
            </w:r>
            <w:proofErr w:type="spellStart"/>
            <w:r>
              <w:rPr>
                <w:rFonts w:cs="Times New Roman"/>
                <w:sz w:val="27"/>
                <w:szCs w:val="27"/>
              </w:rPr>
              <w:t>використанням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дистанційних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технологій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  <w:r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Відпрацювання пропущених занять має бути регулярним за домовленістю з викладачем у години консультацій. </w:t>
            </w:r>
          </w:p>
          <w:p w14:paraId="09E46EDC" w14:textId="77777777" w:rsidR="006F3EEE" w:rsidRDefault="006F3EEE" w:rsidP="006F3EEE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Порядок та умови навчання регламентуються «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Положенням про організацію освітнього процесу в ОНУ імені </w:t>
            </w:r>
            <w:proofErr w:type="spellStart"/>
            <w:r>
              <w:rPr>
                <w:rFonts w:cs="Times New Roman"/>
                <w:iCs/>
                <w:sz w:val="27"/>
                <w:szCs w:val="27"/>
                <w:lang w:val="uk-UA"/>
              </w:rPr>
              <w:t>І.І.Мечникова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» (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poloz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org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osvit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r>
              <w:rPr>
                <w:rFonts w:cs="Times New Roman"/>
                <w:iCs/>
                <w:sz w:val="27"/>
                <w:szCs w:val="27"/>
                <w:lang w:val="en-US"/>
              </w:rPr>
              <w:t>process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_2022.</w:t>
            </w:r>
            <w:r>
              <w:rPr>
                <w:rFonts w:cs="Times New Roman"/>
                <w:iCs/>
                <w:sz w:val="27"/>
                <w:szCs w:val="27"/>
                <w:lang w:val="en-US"/>
              </w:rPr>
              <w:t>pdf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).</w:t>
            </w:r>
          </w:p>
        </w:tc>
      </w:tr>
      <w:tr w:rsidR="006B2203" w:rsidRPr="006F3EEE" w14:paraId="538CC33D" w14:textId="77777777">
        <w:trPr>
          <w:trHeight w:val="1875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AE62D9" w14:textId="77777777" w:rsidR="006B2203" w:rsidRDefault="00E369EB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Дедлайни та перескладання</w:t>
            </w:r>
          </w:p>
          <w:p w14:paraId="0913015E" w14:textId="77777777" w:rsidR="006B2203" w:rsidRDefault="006B2203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9282128" w14:textId="77777777" w:rsidR="006B2203" w:rsidRDefault="00E369EB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Слід дотримуватися запропонованих у розкладі термінів складання сесії;</w:t>
            </w:r>
            <w:r>
              <w:rPr>
                <w:rFonts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перескладання відбувається відповідно до</w:t>
            </w:r>
            <w:r>
              <w:rPr>
                <w:rFonts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color w:val="000000" w:themeColor="text1"/>
                <w:sz w:val="27"/>
                <w:szCs w:val="27"/>
                <w:lang w:val="uk-UA"/>
              </w:rPr>
              <w:t>«</w:t>
            </w:r>
            <w:hyperlink r:id="rId17" w:history="1">
              <w:r>
                <w:rPr>
                  <w:rStyle w:val="a7"/>
                  <w:rFonts w:cs="Times New Roman"/>
                  <w:color w:val="000000" w:themeColor="text1"/>
                  <w:sz w:val="27"/>
                  <w:szCs w:val="27"/>
                  <w:u w:val="none"/>
                  <w:lang w:val="uk-UA"/>
                </w:rPr>
                <w:t>Положення про організацію і проведення контролю результатів навчання здобувачів вищої освіти ОНУі І.І. Мечникова (2020 р.)</w:t>
              </w:r>
            </w:hyperlink>
            <w:r>
              <w:rPr>
                <w:rFonts w:cs="Times New Roman"/>
                <w:sz w:val="27"/>
                <w:szCs w:val="27"/>
                <w:lang w:val="uk-UA"/>
              </w:rPr>
              <w:t xml:space="preserve"> (</w:t>
            </w:r>
            <w:hyperlink r:id="rId18" w:history="1"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http</w:t>
              </w:r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://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onu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.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edu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.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ua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pub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bank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userfiles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files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 xml:space="preserve"> 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documents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polozennya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poloz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-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org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-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kontrol</w:t>
              </w:r>
              <w:proofErr w:type="spellEnd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_2022.</w:t>
              </w:r>
              <w:proofErr w:type="spellStart"/>
              <w:r>
                <w:rPr>
                  <w:rStyle w:val="a7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pdf</w:t>
              </w:r>
              <w:proofErr w:type="spellEnd"/>
            </w:hyperlink>
            <w:r>
              <w:rPr>
                <w:rFonts w:cs="Times New Roman"/>
                <w:sz w:val="27"/>
                <w:szCs w:val="27"/>
                <w:lang w:val="uk-UA"/>
              </w:rPr>
              <w:t>)</w:t>
            </w:r>
          </w:p>
        </w:tc>
      </w:tr>
      <w:tr w:rsidR="006F3EEE" w:rsidRPr="006F3EEE" w14:paraId="7F7C22F5" w14:textId="77777777" w:rsidTr="002C49F3">
        <w:trPr>
          <w:trHeight w:val="1689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410B38B2" w14:textId="77777777" w:rsidR="006F3EEE" w:rsidRPr="0078393C" w:rsidRDefault="006F3EEE" w:rsidP="006F3EEE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  <w:r w:rsidRPr="0078393C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 xml:space="preserve">Політика академічної доброчесності </w:t>
            </w:r>
          </w:p>
          <w:p w14:paraId="37401DED" w14:textId="77777777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1C8CD63" w14:textId="77777777" w:rsidR="006F3EEE" w:rsidRDefault="006F3EEE" w:rsidP="006F3EEE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color w:val="0000FF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Регламентується «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Положенням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Мечникова»</w:t>
            </w:r>
            <w:r>
              <w:rPr>
                <w:rFonts w:cs="Times New Roman"/>
                <w:i/>
                <w:iCs/>
                <w:color w:val="0000FF"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sz w:val="27"/>
                <w:szCs w:val="27"/>
                <w:lang w:val="uk-UA"/>
              </w:rPr>
              <w:t>(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polozhennya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antiplagiat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-2021.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pdf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onu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.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edu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.</w:t>
            </w:r>
            <w:proofErr w:type="spellStart"/>
            <w:r>
              <w:rPr>
                <w:rFonts w:cs="Times New Roman"/>
                <w:iCs/>
                <w:sz w:val="27"/>
                <w:szCs w:val="27"/>
              </w:rPr>
              <w:t>ua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>)</w:t>
            </w:r>
          </w:p>
        </w:tc>
      </w:tr>
      <w:tr w:rsidR="006F3EEE" w14:paraId="0C2660C2" w14:textId="77777777" w:rsidTr="002C49F3">
        <w:tc>
          <w:tcPr>
            <w:tcW w:w="2802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668AD6DC" w14:textId="77777777" w:rsidR="006F3EEE" w:rsidRPr="0078393C" w:rsidRDefault="006F3EEE" w:rsidP="006F3EEE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  <w:r w:rsidRPr="0078393C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 xml:space="preserve">Використання </w:t>
            </w:r>
            <w: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 xml:space="preserve">електронних пристроїв </w:t>
            </w:r>
            <w:r w:rsidRPr="0078393C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 xml:space="preserve">на занятті </w:t>
            </w:r>
          </w:p>
          <w:p w14:paraId="76AE6924" w14:textId="77777777" w:rsidR="006F3EEE" w:rsidRDefault="006F3EEE" w:rsidP="006F3EEE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1C0487CF" w14:textId="77777777" w:rsidR="006F3EEE" w:rsidRDefault="006F3EEE" w:rsidP="006F3EEE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>Під час занять не дозволяється користуватися мобільними телефонами, які попередньо мають бути переведені у беззвучний режим.</w:t>
            </w:r>
          </w:p>
          <w:p w14:paraId="74DAE23E" w14:textId="77777777" w:rsidR="006F3EEE" w:rsidRDefault="006F3EEE" w:rsidP="006F3EEE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>Електронні пристрої використовуються лише за умов наявності відповідної вимоги в навчальному завданні.</w:t>
            </w:r>
          </w:p>
        </w:tc>
      </w:tr>
      <w:tr w:rsidR="006F3EEE" w14:paraId="09BF6A67" w14:textId="77777777" w:rsidTr="002C49F3">
        <w:tc>
          <w:tcPr>
            <w:tcW w:w="2802" w:type="dxa"/>
            <w:tcBorders>
              <w:top w:val="nil"/>
            </w:tcBorders>
            <w:shd w:val="clear" w:color="auto" w:fill="DAEEF3" w:themeFill="accent5" w:themeFillTint="33"/>
          </w:tcPr>
          <w:p w14:paraId="776199B9" w14:textId="77777777" w:rsidR="006F3EEE" w:rsidRPr="0078393C" w:rsidRDefault="006F3EEE" w:rsidP="006F3EEE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  <w:r w:rsidRPr="0078393C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 xml:space="preserve">Комунікація </w:t>
            </w:r>
          </w:p>
          <w:p w14:paraId="2C8EC873" w14:textId="77777777" w:rsidR="006F3EEE" w:rsidRDefault="006F3EEE" w:rsidP="006F3EEE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CACBC44" w14:textId="77777777" w:rsidR="006F3EEE" w:rsidRDefault="006F3EEE" w:rsidP="006F3EEE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Всі робочі оголошення або надсилаються через старосту </w:t>
            </w:r>
            <w:proofErr w:type="spellStart"/>
            <w:r>
              <w:rPr>
                <w:rFonts w:cs="Times New Roman"/>
                <w:iCs/>
                <w:sz w:val="27"/>
                <w:szCs w:val="27"/>
                <w:lang w:val="uk-UA"/>
              </w:rPr>
              <w:t>академгрупи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 на електронну пошту, або через чат </w:t>
            </w:r>
            <w:proofErr w:type="spellStart"/>
            <w:r>
              <w:rPr>
                <w:rFonts w:cs="Times New Roman"/>
                <w:iCs/>
                <w:sz w:val="27"/>
                <w:szCs w:val="27"/>
                <w:lang w:val="uk-UA"/>
              </w:rPr>
              <w:t>академгрупи</w:t>
            </w:r>
            <w:proofErr w:type="spellEnd"/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 у </w:t>
            </w:r>
            <w:r>
              <w:rPr>
                <w:rFonts w:cs="Times New Roman"/>
                <w:iCs/>
                <w:sz w:val="27"/>
                <w:szCs w:val="27"/>
                <w:lang w:val="en-US"/>
              </w:rPr>
              <w:t>Viber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/</w:t>
            </w:r>
            <w:r>
              <w:rPr>
                <w:rFonts w:cs="Times New Roman"/>
                <w:iCs/>
                <w:sz w:val="27"/>
                <w:szCs w:val="27"/>
                <w:lang w:val="en-US"/>
              </w:rPr>
              <w:t>Telegram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. Студенти мають регулярно перевіряти повідомлення і вчасно на них реагувати. </w:t>
            </w:r>
          </w:p>
        </w:tc>
      </w:tr>
    </w:tbl>
    <w:p w14:paraId="0F61A1E6" w14:textId="77777777" w:rsidR="006B2203" w:rsidRDefault="006B2203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14:paraId="2F8CBC0A" w14:textId="77777777" w:rsidR="006B2203" w:rsidRDefault="006B2203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14:paraId="45168A0C" w14:textId="77777777" w:rsidR="006B2203" w:rsidRDefault="006B2203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14:paraId="0CBAD3F7" w14:textId="77777777" w:rsidR="006B2203" w:rsidRDefault="006B2203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14:paraId="766269E4" w14:textId="77777777" w:rsidR="006B2203" w:rsidRDefault="006B2203">
      <w:pPr>
        <w:rPr>
          <w:lang w:val="uk-UA"/>
        </w:rPr>
      </w:pPr>
    </w:p>
    <w:sectPr w:rsidR="006B2203">
      <w:footerReference w:type="default" r:id="rId19"/>
      <w:pgSz w:w="11906" w:h="16838"/>
      <w:pgMar w:top="1134" w:right="1077" w:bottom="1134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929A" w14:textId="77777777" w:rsidR="007D7CCE" w:rsidRDefault="007D7CCE">
      <w:pPr>
        <w:spacing w:line="240" w:lineRule="auto"/>
      </w:pPr>
      <w:r>
        <w:separator/>
      </w:r>
    </w:p>
  </w:endnote>
  <w:endnote w:type="continuationSeparator" w:id="0">
    <w:p w14:paraId="30CFE9C5" w14:textId="77777777" w:rsidR="007D7CCE" w:rsidRDefault="007D7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358344"/>
    </w:sdtPr>
    <w:sdtEndPr/>
    <w:sdtContent>
      <w:p w14:paraId="5682904D" w14:textId="77777777" w:rsidR="006B2203" w:rsidRDefault="00E369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47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ACEF" w14:textId="77777777" w:rsidR="007D7CCE" w:rsidRDefault="007D7CCE">
      <w:pPr>
        <w:spacing w:after="0"/>
      </w:pPr>
      <w:r>
        <w:separator/>
      </w:r>
    </w:p>
  </w:footnote>
  <w:footnote w:type="continuationSeparator" w:id="0">
    <w:p w14:paraId="145895D0" w14:textId="77777777" w:rsidR="007D7CCE" w:rsidRDefault="007D7C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676"/>
    <w:multiLevelType w:val="multilevel"/>
    <w:tmpl w:val="19882676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" w15:restartNumberingAfterBreak="0">
    <w:nsid w:val="4F0C558B"/>
    <w:multiLevelType w:val="multilevel"/>
    <w:tmpl w:val="4F0C558B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D0"/>
    <w:rsid w:val="00001CFB"/>
    <w:rsid w:val="001031E4"/>
    <w:rsid w:val="001463A1"/>
    <w:rsid w:val="001772C3"/>
    <w:rsid w:val="001A0029"/>
    <w:rsid w:val="0021463A"/>
    <w:rsid w:val="002163D0"/>
    <w:rsid w:val="00217513"/>
    <w:rsid w:val="002448C8"/>
    <w:rsid w:val="003062BE"/>
    <w:rsid w:val="00313E21"/>
    <w:rsid w:val="00323A00"/>
    <w:rsid w:val="00332E7D"/>
    <w:rsid w:val="00361482"/>
    <w:rsid w:val="00363CE5"/>
    <w:rsid w:val="003E1D05"/>
    <w:rsid w:val="003F2F48"/>
    <w:rsid w:val="00456B2F"/>
    <w:rsid w:val="004961B3"/>
    <w:rsid w:val="004B2DB5"/>
    <w:rsid w:val="004D4716"/>
    <w:rsid w:val="004E2FB5"/>
    <w:rsid w:val="005216A1"/>
    <w:rsid w:val="005415D2"/>
    <w:rsid w:val="00571EBD"/>
    <w:rsid w:val="006B2203"/>
    <w:rsid w:val="006F3EEE"/>
    <w:rsid w:val="00707233"/>
    <w:rsid w:val="007632F8"/>
    <w:rsid w:val="007A4714"/>
    <w:rsid w:val="007D7CCE"/>
    <w:rsid w:val="00873D26"/>
    <w:rsid w:val="009068CC"/>
    <w:rsid w:val="00940B4B"/>
    <w:rsid w:val="00950D12"/>
    <w:rsid w:val="00954165"/>
    <w:rsid w:val="009E6FBF"/>
    <w:rsid w:val="00A12711"/>
    <w:rsid w:val="00A47BBC"/>
    <w:rsid w:val="00A6154B"/>
    <w:rsid w:val="00A616E4"/>
    <w:rsid w:val="00AC1E9C"/>
    <w:rsid w:val="00B04049"/>
    <w:rsid w:val="00B17557"/>
    <w:rsid w:val="00BA49BF"/>
    <w:rsid w:val="00C1324D"/>
    <w:rsid w:val="00CB45E5"/>
    <w:rsid w:val="00D65789"/>
    <w:rsid w:val="00E369EB"/>
    <w:rsid w:val="00E50D95"/>
    <w:rsid w:val="00E65CFB"/>
    <w:rsid w:val="00F1647B"/>
    <w:rsid w:val="00F35948"/>
    <w:rsid w:val="151B6AE1"/>
    <w:rsid w:val="28F52431"/>
    <w:rsid w:val="7607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17CF"/>
  <w15:docId w15:val="{1EED2557-00EE-46F2-8093-1248D79B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customStyle="1" w:styleId="xfmc1">
    <w:name w:val="xfmc1"/>
    <w:basedOn w:val="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xfm17244409">
    <w:name w:val="xfm_17244409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Обычный1"/>
    <w:pPr>
      <w:spacing w:line="276" w:lineRule="auto"/>
    </w:pPr>
    <w:rPr>
      <w:rFonts w:ascii="Arial" w:eastAsia="Times New Roman" w:hAnsi="Arial" w:cs="Arial"/>
      <w:sz w:val="22"/>
      <w:szCs w:val="22"/>
      <w:lang w:eastAsia="uk-UA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customStyle="1" w:styleId="1984">
    <w:name w:val="1984"/>
    <w:basedOn w:val="a"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sites.google.com/iobook.synergize.co/bcbooko18/epubpdf-read-routledge-encyclopedia-of-narrative-theory-by-david-herman-books-on-pc" TargetMode="External"/><Relationship Id="rId18" Type="http://schemas.openxmlformats.org/officeDocument/2006/relationships/hyperlink" Target="http://onu.edu.ua/pub/bank/userfiles/files%20/documents/polozennya/poloz-org-kontrol_2022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semanticscholar.org/paper/Narratology%3A-Introduction-to-the-" TargetMode="External"/><Relationship Id="rId17" Type="http://schemas.openxmlformats.org/officeDocument/2006/relationships/hyperlink" Target="http://onu.edu.ua/pub/bank/userfiles/files/documents/polozennya/poloz-org-kontro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vorgoodson.com/towards-a-theory-of-narrative-learn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buv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rlego.com/book/652891/handbook-of-narratology-pdf" TargetMode="External"/><Relationship Id="rId10" Type="http://schemas.openxmlformats.org/officeDocument/2006/relationships/hyperlink" Target="http://irbis-nbuv.gov.u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.onu.edu.ua/elektronnaya-biblioteka-uchebnikov/" TargetMode="External"/><Relationship Id="rId14" Type="http://schemas.openxmlformats.org/officeDocument/2006/relationships/hyperlink" Target="https://sites.google.com/iobook.synergize.co/bcbooko18/epubpdf-read-routledge-encyclopedia-of-narrative-theory-by-david-herman-books-on-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1534</Words>
  <Characters>8746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Stepanyuk</dc:creator>
  <cp:lastModifiedBy>natalia</cp:lastModifiedBy>
  <cp:revision>2</cp:revision>
  <dcterms:created xsi:type="dcterms:W3CDTF">2024-01-15T21:08:00Z</dcterms:created>
  <dcterms:modified xsi:type="dcterms:W3CDTF">2024-01-15T21:08:00Z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19EBA6D7CDDA4CF8AD647E4477E403EB_13</vt:lpwstr>
  </property>
</Properties>
</file>