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Default="00FB0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574081" w:rsidRDefault="005740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BB" w:rsidRPr="00C84868" w:rsidRDefault="00FB0FBB" w:rsidP="00FB0FB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ізики та астрономії</w:t>
      </w: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FB0FBB" w:rsidRPr="00FB0FBB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0FBB" w:rsidRPr="00FB0FBB" w:rsidRDefault="004F12ED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0FBB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МЕТОДИ ОБЧИСЛЕНЬ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67"/>
      </w:tblGrid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8067" w:type="dxa"/>
          </w:tcPr>
          <w:p w:rsidR="00FB0FBB" w:rsidRPr="004F12ED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F12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кредити ECTS (90 академічних годин)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8067" w:type="dxa"/>
          </w:tcPr>
          <w:p w:rsidR="00FB0FBB" w:rsidRPr="00FB0FB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 семестр, 1 рік навчання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8067" w:type="dxa"/>
          </w:tcPr>
          <w:p w:rsidR="00FB0FBB" w:rsidRPr="007152CC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відповідно до затвердженого розкладу занять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8067" w:type="dxa"/>
          </w:tcPr>
          <w:p w:rsidR="00FB0FBB" w:rsidRPr="008506A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proofErr w:type="spellStart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Базєй</w:t>
            </w:r>
            <w:proofErr w:type="spellEnd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Олександр Анатолійович</w:t>
            </w:r>
            <w:r w:rsid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кандидат фізико-математичних наук; доцент кафедри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8067" w:type="dxa"/>
          </w:tcPr>
          <w:p w:rsidR="00FB0FBB" w:rsidRPr="0031671E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097 509 82 56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67" w:type="dxa"/>
          </w:tcPr>
          <w:p w:rsidR="00FB0FBB" w:rsidRPr="00AA2227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bazyey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onu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edu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8067" w:type="dxa"/>
          </w:tcPr>
          <w:p w:rsidR="00FB0FBB" w:rsidRPr="002841DD" w:rsidRDefault="002841DD" w:rsidP="00B71B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Навчально-науковий освітні</w:t>
            </w:r>
            <w:r w:rsid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й</w:t>
            </w: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71B1C" w:rsidRP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(Астрономічна обсерваторія)</w:t>
            </w:r>
          </w:p>
        </w:tc>
      </w:tr>
      <w:tr w:rsidR="00FB0FBB" w:rsidRPr="005A103A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8067" w:type="dxa"/>
          </w:tcPr>
          <w:p w:rsidR="00FB0FB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3A">
              <w:rPr>
                <w:rFonts w:ascii="Times New Roman" w:hAnsi="Times New Roman" w:cs="Times New Roman"/>
                <w:i/>
                <w:sz w:val="28"/>
                <w:szCs w:val="28"/>
              </w:rPr>
              <w:t>Онлайн- консультації:</w:t>
            </w:r>
            <w:r w:rsidRPr="005A103A">
              <w:rPr>
                <w:rFonts w:ascii="Times New Roman" w:hAnsi="Times New Roman" w:cs="Times New Roman"/>
                <w:sz w:val="28"/>
                <w:szCs w:val="28"/>
              </w:rPr>
              <w:t xml:space="preserve"> щоп’ятниці о 15.00</w:t>
            </w:r>
          </w:p>
          <w:p w:rsidR="008506A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https://us02web.zoom.us/j/9341146289?pwd=SWcreTVhV1BWZk5GeGlLRmZJaGFaZz09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дентиф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катор конференц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ії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934 114 6289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од доступ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2RAZSA</w:t>
            </w:r>
          </w:p>
        </w:tc>
      </w:tr>
    </w:tbl>
    <w:p w:rsidR="005A103A" w:rsidRDefault="005A10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423BA" w:rsidRPr="00AA2227" w:rsidRDefault="00D423BA" w:rsidP="00D423B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КОМУНІКАЦІЯ</w:t>
      </w:r>
      <w:r w:rsidRPr="00D4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bazyey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@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D423BA" w:rsidRPr="00D423B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https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://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facebook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profile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php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?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id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=100011171678133</w:t>
      </w:r>
    </w:p>
    <w:p w:rsidR="00D423BA" w:rsidRPr="00137FE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097 509 82 56</w:t>
      </w:r>
    </w:p>
    <w:p w:rsidR="00137FEA" w:rsidRDefault="00137FE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23BA" w:rsidRPr="001E4077" w:rsidRDefault="001E407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АНОТАЦІЯ  КУРСУ</w:t>
      </w:r>
    </w:p>
    <w:p w:rsidR="001E4077" w:rsidRDefault="001E4077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Предмет</w:t>
      </w:r>
      <w:r w:rsidRPr="001E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вивчення</w:t>
      </w:r>
      <w:r w:rsidR="00E1710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:</w:t>
      </w:r>
      <w:r w:rsidRPr="001E40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E1710D" w:rsidRP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Методи</w:t>
      </w:r>
      <w:r w:rsid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наближеного розв’язку математичних задач.</w:t>
      </w:r>
    </w:p>
    <w:p w:rsidR="00EA34AC" w:rsidRPr="001E4077" w:rsidRDefault="00EA34AC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належить до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циклу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Вибіркові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1710D" w:rsidRPr="00E1710D" w:rsidRDefault="001E407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Пререквізити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="00E1710D"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курсу</w:t>
      </w:r>
      <w:r w:rsidR="008B543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Вивчення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дано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ї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баз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ує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ь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ся на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наступних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нах: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математич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ий 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диференц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альн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йна алгебра;</w:t>
      </w:r>
    </w:p>
    <w:p w:rsidR="001E4077" w:rsidRPr="001E4077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 геометр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EA34AC" w:rsidRPr="00EA34AC" w:rsidRDefault="00EA34AC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засвоєння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, студент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повинні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іти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ями:</w:t>
      </w:r>
    </w:p>
    <w:p w:rsidR="00EA34AC" w:rsidRPr="004F12ED" w:rsidRDefault="004F12ED" w:rsidP="004F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4F12ED">
        <w:rPr>
          <w:rFonts w:ascii="Times New Roman" w:eastAsia="Times New Roman" w:hAnsi="Times New Roman" w:cs="Times New Roman"/>
          <w:color w:val="auto"/>
          <w:sz w:val="28"/>
          <w:szCs w:val="28"/>
        </w:rPr>
        <w:t>знати основи інформатики;</w:t>
      </w:r>
    </w:p>
    <w:p w:rsidR="00EA34AC" w:rsidRPr="00EA34AC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йно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алгебр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710D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лемент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ого анал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0D" w:rsidRDefault="00E1710D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ост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курсу</w:t>
      </w:r>
      <w:r w:rsidR="004F12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</w:p>
    <w:p w:rsidR="00E1710D" w:rsidRPr="005D5454" w:rsidRDefault="005D5454" w:rsidP="005D54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D54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Інформатика та програмування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Об'єктно-орієнтоване програмування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Небесна механіка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Комп'ютерні методи розв'язування задач з фізики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М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атематич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е модел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юва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ня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022DB" w:rsidRPr="00B022DB" w:rsidRDefault="00B022DB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1E4077" w:rsidRPr="001E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ісля закінчення вивчення даної </w:t>
      </w:r>
      <w:r w:rsidR="001E4077" w:rsidRPr="001E407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дисципліни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 повинен знати 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озв’язку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задач: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наближений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озв’язок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алгебра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їчн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их 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та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трансцендентн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 р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розв’язок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систем л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йн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 алгебра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ї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них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нтерпол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ван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ня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функц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й,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наближений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озв’язок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систем нел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йн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 р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ь,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чисе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льне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диференц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ію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ван</w:t>
      </w:r>
      <w:r w:rsid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ня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</w:p>
    <w:p w:rsidR="00B022DB" w:rsidRPr="00B022DB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обчислення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нтеграл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в,</w:t>
      </w:r>
    </w:p>
    <w:p w:rsidR="00B022DB" w:rsidRPr="001E4077" w:rsidRDefault="005D5454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чис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ьні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метод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озв’язку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звичайних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диференц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альн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 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янь.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Мета </w:t>
      </w:r>
      <w:r w:rsidRPr="001E407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курсу</w:t>
      </w:r>
    </w:p>
    <w:p w:rsidR="00CD4FB0" w:rsidRPr="00CD4FB0" w:rsidRDefault="005D5454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отримання первинних знань, умінь та навичок з основ обчислювальної математики як наукової та прикладної дисципліни, достатніх для подальшого прод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овження їх освіти та самоосвіти,</w:t>
      </w:r>
    </w:p>
    <w:p w:rsidR="00CD4FB0" w:rsidRPr="00CD4FB0" w:rsidRDefault="005D5454" w:rsidP="00CD4F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студентів системно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сприйнятт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подальших дисци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плін навчального плану,</w:t>
      </w:r>
    </w:p>
    <w:p w:rsidR="00CD4FB0" w:rsidRPr="00CD4FB0" w:rsidRDefault="005D5454" w:rsidP="00CD4F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4FB0" w:rsidRPr="001E407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сформувати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уявлення про роль та місце обчислювальної математики при постановці</w:t>
      </w:r>
      <w:r w:rsidR="00644E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виборі ефективних алгоритмів та інтерпретації результатів вирішення завдань у галузі </w:t>
      </w:r>
      <w:r w:rsidR="00364D3C">
        <w:rPr>
          <w:rFonts w:ascii="Times New Roman" w:eastAsia="Times New Roman" w:hAnsi="Times New Roman" w:cs="Times New Roman"/>
          <w:color w:val="auto"/>
          <w:sz w:val="28"/>
          <w:szCs w:val="28"/>
        </w:rPr>
        <w:t>фізики та астрономії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CD4FB0" w:rsidRDefault="005D5454" w:rsidP="00CD4F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вироб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практичн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навичк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складання алгоритмів 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вирішення прикладних завдань.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Завдання дисципліни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5D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сформувати 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розуміння природних явищ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5D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виробити 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вміння будувати чисельні схеми розв’язування математичних задач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5D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виробити 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вміння будувати чисельні схеми розв’язування фізичних задач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4E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навчити 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застосовувати 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отриман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вмін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майбутній професійній діяльності.</w:t>
      </w:r>
    </w:p>
    <w:p w:rsidR="001E4077" w:rsidRPr="001E4077" w:rsidRDefault="001E4077" w:rsidP="001E40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Очікувані результати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знати: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основи чисельного моделювання,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 розв’язання різноманітних чисельних задач, що ви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никають під час наукової роботи,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 обчислен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 вик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ористанням комп’ютерної техніки,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властивості наближених обчислень.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вміти: 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проводити обчислення з використан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ням </w:t>
      </w:r>
      <w:proofErr w:type="spellStart"/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таблично</w:t>
      </w:r>
      <w:proofErr w:type="spellEnd"/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заданої інформації,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знаходити похідні т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інтеграли чисельними методами,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розв’язувати рівняння т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знаходити екстремуми </w:t>
      </w:r>
      <w:proofErr w:type="spellStart"/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чисельно</w:t>
      </w:r>
      <w:proofErr w:type="spellEnd"/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контролювати отримані результати в процесі обчислень та оцінюв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ати точність кінцевої відповіді,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астосовувати методи Монте-Карло,</w:t>
      </w:r>
    </w:p>
    <w:p w:rsid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виконувати практичні роботи із застосуванням чисельних методів.</w:t>
      </w:r>
    </w:p>
    <w:p w:rsidR="00B9781C" w:rsidRDefault="00B9781C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Pr="00B9781C" w:rsidRDefault="00B9781C" w:rsidP="00B978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 КУРСУ</w:t>
      </w:r>
    </w:p>
    <w:p w:rsidR="00B9781C" w:rsidRPr="00B9781C" w:rsidRDefault="00B9781C" w:rsidP="00B9781C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і методи навчання</w:t>
      </w:r>
    </w:p>
    <w:p w:rsid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color w:val="auto"/>
          <w:sz w:val="28"/>
          <w:szCs w:val="28"/>
        </w:rPr>
        <w:t>Курс буде викладений у формі лекцій (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год.) та лабораторних занять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год.), організації самостійної роботи студентів (</w:t>
      </w:r>
      <w:r>
        <w:rPr>
          <w:rFonts w:ascii="Times New Roman" w:hAnsi="Times New Roman" w:cs="Times New Roman"/>
          <w:color w:val="auto"/>
          <w:sz w:val="28"/>
          <w:szCs w:val="28"/>
        </w:rPr>
        <w:t>60 год.)</w:t>
      </w:r>
    </w:p>
    <w:p w:rsidR="00B9781C" w:rsidRP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Будуть використані такі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методи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екції, </w:t>
      </w:r>
      <w:r>
        <w:rPr>
          <w:rFonts w:ascii="Times New Roman" w:hAnsi="Times New Roman" w:cs="Times New Roman"/>
          <w:color w:val="auto"/>
          <w:sz w:val="28"/>
          <w:szCs w:val="28"/>
        </w:rPr>
        <w:t>лабораторні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заняття, самостійна робота, написання модульних контрольних робіт.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ередбачено проведення індивідуальних консультацій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Зміст навчальної дисципліни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1. </w:t>
      </w:r>
      <w:r w:rsidR="0085380E" w:rsidRPr="0085380E">
        <w:rPr>
          <w:rFonts w:ascii="Times New Roman" w:eastAsia="Times New Roman" w:hAnsi="Times New Roman" w:cs="Times New Roman"/>
          <w:color w:val="auto"/>
          <w:sz w:val="28"/>
          <w:szCs w:val="28"/>
        </w:rPr>
        <w:t>Вступ.</w:t>
      </w:r>
      <w:r w:rsidR="008538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Згладжування, апрокс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имація та лінеаризація функцій.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Тема 2. Інтерполяція.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Тема 3. Чисельний розв’язок</w:t>
      </w:r>
      <w:r w:rsidR="004F7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нелінійних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рівнянь.</w:t>
      </w:r>
    </w:p>
    <w:p w:rsidR="00B9781C" w:rsidRPr="00B9781C" w:rsidRDefault="004F7D4E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Тема 4. Пошук мінімуму функції.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Обчислення </w:t>
      </w:r>
      <w:proofErr w:type="spellStart"/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риманового</w:t>
      </w:r>
      <w:proofErr w:type="spellEnd"/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інтегралу.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 Розв’язок зви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чайних диференціальних рівнянь.</w:t>
      </w:r>
      <w:bookmarkStart w:id="0" w:name="_GoBack"/>
      <w:bookmarkEnd w:id="0"/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Перелік</w:t>
      </w:r>
      <w:r w:rsidR="004F12E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рекомендованої літератури</w:t>
      </w:r>
    </w:p>
    <w:p w:rsidR="00C85FD1" w:rsidRPr="006B0A36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1. Попов В. В. Методи обчислень : конспект лекцій для студентів механіко-математичного факультету. 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Київ </w:t>
      </w: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B0A36">
        <w:rPr>
          <w:rFonts w:ascii="Times New Roman" w:hAnsi="Times New Roman" w:cs="Times New Roman"/>
          <w:color w:val="auto"/>
          <w:sz w:val="28"/>
          <w:szCs w:val="28"/>
        </w:rPr>
        <w:t>Видавничо</w:t>
      </w:r>
      <w:proofErr w:type="spellEnd"/>
      <w:r w:rsidRPr="006B0A36">
        <w:rPr>
          <w:rFonts w:ascii="Times New Roman" w:hAnsi="Times New Roman" w:cs="Times New Roman"/>
          <w:color w:val="auto"/>
          <w:sz w:val="28"/>
          <w:szCs w:val="28"/>
        </w:rPr>
        <w:t>-поліграфічний центр "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Київський університет", 2012.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66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0A36">
        <w:rPr>
          <w:rFonts w:ascii="Times New Roman" w:hAnsi="Times New Roman" w:cs="Times New Roman"/>
          <w:color w:val="auto"/>
          <w:sz w:val="28"/>
          <w:szCs w:val="28"/>
        </w:rPr>
        <w:t>303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0A36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EC404A" w:rsidRPr="006B0A36" w:rsidRDefault="00C85FD1" w:rsidP="0047281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Ляшенко Б.М., </w:t>
      </w:r>
      <w:proofErr w:type="spellStart"/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>Кривонос</w:t>
      </w:r>
      <w:proofErr w:type="spellEnd"/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О.М., </w:t>
      </w:r>
      <w:proofErr w:type="spellStart"/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>Вакалюк</w:t>
      </w:r>
      <w:proofErr w:type="spellEnd"/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Т.А. Методи  обчислень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>: навчально-методичний  посібник для студентів фізико-математичного факультету. Житомир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>: Вид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ЖДУ, 2014.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− 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>228 c.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Третиник</w:t>
      </w:r>
      <w:proofErr w:type="spellEnd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В. В., </w:t>
      </w:r>
      <w:proofErr w:type="spellStart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Любашенко</w:t>
      </w:r>
      <w:proofErr w:type="spellEnd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Н. Д. Методи обчислень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Частина 1. Чисельні методи алгебри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посіб</w:t>
      </w:r>
      <w:proofErr w:type="spellEnd"/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Київ : КПІ ім. Ігоря Сікорського, 2019.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− 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. Бичко В.А. Алгоритми і методи обчислень. Частина 1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– Чернігів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: ЧДТУ, 2018.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−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24 с.</w:t>
      </w:r>
    </w:p>
    <w:p w:rsidR="00A4495F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>Мірошкіна</w:t>
      </w:r>
      <w:proofErr w:type="spellEnd"/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І.В.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Методичні рекомендації до лабораторних робіт з дисципліни «Алгоритми та методи обчислень»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Черкаси</w:t>
      </w:r>
      <w:r w:rsidR="00AA2227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: ЧДТУ, 2018.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−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106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Дичка І. А., </w:t>
      </w:r>
      <w:proofErr w:type="spellStart"/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>Онай</w:t>
      </w:r>
      <w:proofErr w:type="spellEnd"/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М. В., </w:t>
      </w:r>
      <w:proofErr w:type="spellStart"/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>Гадиняк</w:t>
      </w:r>
      <w:proofErr w:type="spellEnd"/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Р. А.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Чисельні методи. Розв’язання задач лінійної алгебри та нелінійних рівнянь</w:t>
      </w:r>
      <w:r w:rsidR="006B0A36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: лабораторний практикум. Київ : КПІ ім. Ігоря Сікорського, 2018. 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−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95</w:t>
      </w:r>
      <w:r w:rsidR="00FF31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ОЦІНЮВАННЯ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Контроль навчальних досягнень здобувачів освіти за дисципліною забезпечується за допомогою поточного та підсумкового контролю.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Поточний контроль успішності ‒ систематична перевірка знань студентів, що проводиться викладачем під час аудиторних занять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у ход</w:t>
      </w:r>
      <w:r>
        <w:rPr>
          <w:rFonts w:ascii="Times New Roman" w:hAnsi="Times New Roman" w:cs="Times New Roman"/>
          <w:color w:val="auto"/>
          <w:sz w:val="28"/>
          <w:szCs w:val="28"/>
        </w:rPr>
        <w:t>і опитування</w:t>
      </w:r>
      <w:r w:rsidR="00AD290F">
        <w:rPr>
          <w:rFonts w:ascii="Times New Roman" w:hAnsi="Times New Roman" w:cs="Times New Roman"/>
          <w:color w:val="auto"/>
          <w:sz w:val="28"/>
          <w:szCs w:val="28"/>
        </w:rPr>
        <w:t>, виконання контрольних робіт у письмовій формі, лабораторний контроль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Роботи виконуються по варіантах.</w:t>
      </w:r>
    </w:p>
    <w:p w:rsid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Підсумковий контроль успішності проводиться у формі заліку.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Під час заліку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студент може отримати додаткове питання (додаткове практичне завдання), відповідь на яке оцінюється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Розподіл балів, які отримують студенти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704"/>
        <w:gridCol w:w="1559"/>
        <w:gridCol w:w="1417"/>
        <w:gridCol w:w="1843"/>
        <w:gridCol w:w="1422"/>
      </w:tblGrid>
      <w:tr w:rsidR="001A3C8C" w:rsidRPr="001A3C8C" w:rsidTr="004F12ED">
        <w:trPr>
          <w:jc w:val="center"/>
        </w:trPr>
        <w:tc>
          <w:tcPr>
            <w:tcW w:w="6232" w:type="dxa"/>
            <w:gridSpan w:val="6"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Поточний контроль</w:t>
            </w:r>
          </w:p>
        </w:tc>
        <w:tc>
          <w:tcPr>
            <w:tcW w:w="1843" w:type="dxa"/>
            <w:vMerge w:val="restart"/>
            <w:vAlign w:val="center"/>
          </w:tcPr>
          <w:p w:rsidR="001A3C8C" w:rsidRPr="001A3C8C" w:rsidRDefault="004F12ED" w:rsidP="004F12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Підсумков</w:t>
            </w:r>
            <w:r w:rsidR="001A3C8C"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 контроль</w:t>
            </w:r>
          </w:p>
        </w:tc>
        <w:tc>
          <w:tcPr>
            <w:tcW w:w="1422" w:type="dxa"/>
            <w:vMerge w:val="restart"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Сума балів</w:t>
            </w:r>
          </w:p>
        </w:tc>
      </w:tr>
      <w:tr w:rsidR="001A3C8C" w:rsidRPr="001A3C8C" w:rsidTr="004F12ED">
        <w:trPr>
          <w:jc w:val="center"/>
        </w:trPr>
        <w:tc>
          <w:tcPr>
            <w:tcW w:w="3256" w:type="dxa"/>
            <w:gridSpan w:val="4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№1</w:t>
            </w:r>
          </w:p>
        </w:tc>
        <w:tc>
          <w:tcPr>
            <w:tcW w:w="2976" w:type="dxa"/>
            <w:gridSpan w:val="2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 2</w:t>
            </w:r>
          </w:p>
        </w:tc>
        <w:tc>
          <w:tcPr>
            <w:tcW w:w="1843" w:type="dxa"/>
            <w:vMerge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3C8C" w:rsidRPr="001A3C8C" w:rsidTr="004F12ED">
        <w:trPr>
          <w:jc w:val="center"/>
        </w:trPr>
        <w:tc>
          <w:tcPr>
            <w:tcW w:w="851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850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851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704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1559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1417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1843" w:type="dxa"/>
            <w:vMerge w:val="restart"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2" w:type="dxa"/>
            <w:vMerge w:val="restart"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1A3C8C" w:rsidRPr="001A3C8C" w:rsidTr="004F12ED">
        <w:trPr>
          <w:jc w:val="center"/>
        </w:trPr>
        <w:tc>
          <w:tcPr>
            <w:tcW w:w="851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04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Т1, Т2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... Т6 – теми змістових модулів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5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Самостійна робота студентів</w:t>
      </w:r>
      <w:r w:rsidRPr="00C85F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самостійної роботи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46A9" w:rsidRP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(реферативні повідомлення, індивідуальні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консультації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3486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групов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(навчання у співпраці, факультативні заняття);</w:t>
      </w:r>
    </w:p>
    <w:p w:rsidR="00CE3486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 контролю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Рефлексивний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К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онтроль у формі обміну думками між студентом і викладачем у рівноправному діалозі.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співбесід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а. Використовується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зі студентами, які пропустили одне чи кілька навчальних занять або отримали незадовільну оцінку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Письмові завдання і контрольні роботи.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Пропонуються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за пропущеними темами курсу, що зобов'язує студента самостійно опрацювати ці теми. </w:t>
      </w:r>
      <w:r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х результати можуть враховуватись під час проведення заліку.</w:t>
      </w:r>
    </w:p>
    <w:p w:rsidR="009F6C82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лабораторних робіт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ожн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робота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оцінюється максимум у 10 балів, та включає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оректність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5 балів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икористання опанованих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воєчасність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ритерії оцінювання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залученості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на лекційних заняттях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ктивна участь у кожному лекційному занятті оцінюється максимум 5 балів,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B1C">
        <w:rPr>
          <w:rFonts w:ascii="Times New Roman" w:hAnsi="Times New Roman" w:cs="Times New Roman"/>
          <w:color w:val="auto"/>
          <w:sz w:val="28"/>
          <w:szCs w:val="28"/>
        </w:rPr>
        <w:t>та включає 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алученість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у тематичних дискусіях на лекціях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9F6C82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від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повіді на тематичні запитання за лекцією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бали.</w:t>
      </w:r>
    </w:p>
    <w:p w:rsidR="009F6C82" w:rsidRPr="009F6C82" w:rsidRDefault="00B71B1C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6C82"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троки здачі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робіт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до проведення підсумкового контролю.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4B5911" w:rsidRDefault="004B591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ПОЛІТИКА КУРСУ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перескладання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160C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поважних причин (наприклад, лікарняний).</w:t>
      </w:r>
    </w:p>
    <w:p w:rsidR="00C85FD1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85FD1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 базується на засудженні практик списування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(виконання письмових робіт із залученням зовнішніх джерел інформації, крім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дозволених для використання), плагіату (відтворення опублікованих текстів інших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авторів без зазначення авторства), фабрикації (вигадування даних чи фактів) що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можуть використовуватися в освітньому процесі.</w:t>
      </w:r>
    </w:p>
    <w:p w:rsidR="00C85FD1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роботи.</w:t>
      </w:r>
    </w:p>
    <w:p w:rsidR="00C85FD1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відвідування та запізнень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Для здобувачів вищої освіти денної форми відвідування занять є обов’язковим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DF2903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або онлайн режимі.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Поважними причинами для неявки на заняття є хвороба, участь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університетських заходах, відрядження, які необхідно підтверджувати документами. Про відсутність на занятті та причини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відсутності здобувач вищої освіти має повідомити викладача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особисто, або через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старосту.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Оцінки неможливо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отримати під час консультацій або інших додаткових годин спілкування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викладачем. За об’єктивних причин (наприклад, міжнародна мобільність) навчання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може відбуватись дистанційно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онлайн-формі, за погодженням з викладачем.</w:t>
      </w:r>
    </w:p>
    <w:p w:rsid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A62821" w:rsidRDefault="00A62821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икористання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мобільних пристроїв – смартфонів, планшетів або ноутбуків дозволяється під час виконання лабораторних робіт.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Поведінка в аудиторії</w:t>
      </w:r>
      <w:r w:rsidR="00A62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A6282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color w:val="auto"/>
          <w:sz w:val="28"/>
          <w:szCs w:val="28"/>
        </w:rPr>
        <w:t>Поведінка в аудиторії повинна відповідати загальним вимогам ділової та наукової етики.</w:t>
      </w:r>
    </w:p>
    <w:p w:rsidR="00DF2903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2903" w:rsidRPr="00DF2903">
      <w:footerReference w:type="default" r:id="rId9"/>
      <w:pgSz w:w="11900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11" w:rsidRDefault="004B5911" w:rsidP="004B5911">
      <w:pPr>
        <w:spacing w:after="0" w:line="240" w:lineRule="auto"/>
      </w:pPr>
      <w:r>
        <w:separator/>
      </w:r>
    </w:p>
  </w:endnote>
  <w:endnote w:type="continuationSeparator" w:id="0">
    <w:p w:rsidR="004B5911" w:rsidRDefault="004B5911" w:rsidP="004B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5974"/>
      <w:docPartObj>
        <w:docPartGallery w:val="Page Numbers (Bottom of Page)"/>
        <w:docPartUnique/>
      </w:docPartObj>
    </w:sdtPr>
    <w:sdtEndPr/>
    <w:sdtContent>
      <w:p w:rsidR="004B5911" w:rsidRDefault="004B591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75" w:rsidRPr="00897275">
          <w:rPr>
            <w:noProof/>
            <w:lang w:val="ru-RU"/>
          </w:rPr>
          <w:t>4</w:t>
        </w:r>
        <w:r>
          <w:fldChar w:fldCharType="end"/>
        </w:r>
      </w:p>
    </w:sdtContent>
  </w:sdt>
  <w:p w:rsidR="004B5911" w:rsidRDefault="004B59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11" w:rsidRDefault="004B5911" w:rsidP="004B5911">
      <w:pPr>
        <w:spacing w:after="0" w:line="240" w:lineRule="auto"/>
      </w:pPr>
      <w:r>
        <w:separator/>
      </w:r>
    </w:p>
  </w:footnote>
  <w:footnote w:type="continuationSeparator" w:id="0">
    <w:p w:rsidR="004B5911" w:rsidRDefault="004B5911" w:rsidP="004B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6B"/>
    <w:multiLevelType w:val="multilevel"/>
    <w:tmpl w:val="6110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E0A"/>
    <w:multiLevelType w:val="multilevel"/>
    <w:tmpl w:val="5CCA1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41ED"/>
    <w:multiLevelType w:val="multilevel"/>
    <w:tmpl w:val="B546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DE3"/>
    <w:multiLevelType w:val="multilevel"/>
    <w:tmpl w:val="1C6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96C"/>
    <w:multiLevelType w:val="multilevel"/>
    <w:tmpl w:val="0C4C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E2E"/>
    <w:multiLevelType w:val="multilevel"/>
    <w:tmpl w:val="E19A4C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5216B"/>
    <w:multiLevelType w:val="multilevel"/>
    <w:tmpl w:val="89783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0D5"/>
    <w:multiLevelType w:val="hybridMultilevel"/>
    <w:tmpl w:val="DEA28C86"/>
    <w:lvl w:ilvl="0" w:tplc="09AED0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5E5C11"/>
    <w:multiLevelType w:val="multilevel"/>
    <w:tmpl w:val="67DE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F97"/>
    <w:multiLevelType w:val="multilevel"/>
    <w:tmpl w:val="A8B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A80"/>
    <w:multiLevelType w:val="hybridMultilevel"/>
    <w:tmpl w:val="B9CC4D38"/>
    <w:lvl w:ilvl="0" w:tplc="EB688D56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B2FD3"/>
    <w:multiLevelType w:val="multilevel"/>
    <w:tmpl w:val="E4C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772"/>
    <w:multiLevelType w:val="multilevel"/>
    <w:tmpl w:val="D6FC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1"/>
    <w:rsid w:val="000F583C"/>
    <w:rsid w:val="00137FEA"/>
    <w:rsid w:val="001A3C8C"/>
    <w:rsid w:val="001E4077"/>
    <w:rsid w:val="0020236E"/>
    <w:rsid w:val="00266BE5"/>
    <w:rsid w:val="002841DD"/>
    <w:rsid w:val="0031671E"/>
    <w:rsid w:val="00364D3C"/>
    <w:rsid w:val="00472813"/>
    <w:rsid w:val="004A60DB"/>
    <w:rsid w:val="004B5911"/>
    <w:rsid w:val="004F12ED"/>
    <w:rsid w:val="004F7D4E"/>
    <w:rsid w:val="00574081"/>
    <w:rsid w:val="005A103A"/>
    <w:rsid w:val="005D5454"/>
    <w:rsid w:val="00644E96"/>
    <w:rsid w:val="006B0A36"/>
    <w:rsid w:val="006D7127"/>
    <w:rsid w:val="007152CC"/>
    <w:rsid w:val="007D6C1C"/>
    <w:rsid w:val="008506AB"/>
    <w:rsid w:val="0085380E"/>
    <w:rsid w:val="00897275"/>
    <w:rsid w:val="008B5437"/>
    <w:rsid w:val="009F6C82"/>
    <w:rsid w:val="00A4495F"/>
    <w:rsid w:val="00A62821"/>
    <w:rsid w:val="00AA2227"/>
    <w:rsid w:val="00AD160C"/>
    <w:rsid w:val="00AD290F"/>
    <w:rsid w:val="00B022DB"/>
    <w:rsid w:val="00B246A9"/>
    <w:rsid w:val="00B66D3D"/>
    <w:rsid w:val="00B71B1C"/>
    <w:rsid w:val="00B9781C"/>
    <w:rsid w:val="00C85FD1"/>
    <w:rsid w:val="00CD4FB0"/>
    <w:rsid w:val="00CE3486"/>
    <w:rsid w:val="00D423BA"/>
    <w:rsid w:val="00DD57D8"/>
    <w:rsid w:val="00DF2903"/>
    <w:rsid w:val="00E1710D"/>
    <w:rsid w:val="00E75D38"/>
    <w:rsid w:val="00EA34AC"/>
    <w:rsid w:val="00EC404A"/>
    <w:rsid w:val="00FB0FBB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E35B-382C-4A13-A6B2-F258F02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paragraph" w:styleId="a8">
    <w:name w:val="Body Text Indent"/>
    <w:basedOn w:val="a"/>
    <w:link w:val="a9"/>
    <w:rsid w:val="00F618D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18DE"/>
    <w:rPr>
      <w:rFonts w:eastAsia="Times New Roman"/>
      <w:sz w:val="28"/>
      <w:szCs w:val="24"/>
      <w:bdr w:val="none" w:sz="0" w:space="0" w:color="auto"/>
    </w:rPr>
  </w:style>
  <w:style w:type="table" w:styleId="aa">
    <w:name w:val="Table Grid"/>
    <w:basedOn w:val="a1"/>
    <w:uiPriority w:val="59"/>
    <w:rsid w:val="003C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FB0FBB"/>
    <w:pPr>
      <w:spacing w:after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1E40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4077"/>
    <w:rPr>
      <w:rFonts w:cs="Arial Unicode MS"/>
      <w:color w:val="000000"/>
      <w:u w:color="000000"/>
    </w:rPr>
  </w:style>
  <w:style w:type="paragraph" w:styleId="30">
    <w:name w:val="Body Text Indent 3"/>
    <w:basedOn w:val="a"/>
    <w:link w:val="31"/>
    <w:uiPriority w:val="99"/>
    <w:semiHidden/>
    <w:unhideWhenUsed/>
    <w:rsid w:val="001E40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E4077"/>
    <w:rPr>
      <w:rFonts w:cs="Arial Unicode MS"/>
      <w:color w:val="000000"/>
      <w:sz w:val="16"/>
      <w:szCs w:val="16"/>
      <w:u w:color="000000"/>
    </w:rPr>
  </w:style>
  <w:style w:type="paragraph" w:styleId="af6">
    <w:name w:val="Normal (Web)"/>
    <w:basedOn w:val="a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5911"/>
    <w:rPr>
      <w:rFonts w:cs="Arial Unicode MS"/>
      <w:color w:val="000000"/>
      <w:u w:color="000000"/>
    </w:rPr>
  </w:style>
  <w:style w:type="paragraph" w:styleId="af9">
    <w:name w:val="footer"/>
    <w:basedOn w:val="a"/>
    <w:link w:val="afa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591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azy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bJNxihC+6Co0wqLAmO1VhBWEg==">AMUW2mX60+zxBaQ6rFoPXiVQ3rkAi63q+KRImuAEQvcgLv7ltCUVfy0cogIsfH8OZSlP+1vaYO4O4SbZWTQTPzrplSnGiVrGfGFrucvjUm38+053AEC1uM4vQXnAEPi3A5vt7btFpYZy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5675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19</cp:revision>
  <dcterms:created xsi:type="dcterms:W3CDTF">2020-08-14T10:43:00Z</dcterms:created>
  <dcterms:modified xsi:type="dcterms:W3CDTF">2023-01-17T22:40:00Z</dcterms:modified>
</cp:coreProperties>
</file>