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Одеський національний університет імені І. І. Мечникова</w:t>
      </w:r>
    </w:p>
    <w:p w:rsidR="00000000" w:rsidDel="00000000" w:rsidP="00000000" w:rsidRDefault="00000000" w:rsidRPr="00000000" w14:paraId="00000002">
      <w:pPr>
        <w:spacing w:before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Факультет романо-германської філології</w:t>
      </w:r>
    </w:p>
    <w:p w:rsidR="00000000" w:rsidDel="00000000" w:rsidP="00000000" w:rsidRDefault="00000000" w:rsidRPr="00000000" w14:paraId="00000003">
      <w:pPr>
        <w:spacing w:before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Кафедра граматики англійської мови</w:t>
      </w:r>
    </w:p>
    <w:p w:rsidR="00000000" w:rsidDel="00000000" w:rsidP="00000000" w:rsidRDefault="00000000" w:rsidRPr="00000000" w14:paraId="00000004">
      <w:pPr>
        <w:spacing w:before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="240" w:lineRule="auto"/>
        <w:jc w:val="center"/>
        <w:rPr>
          <w:b w:val="1"/>
          <w:color w:val="0033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Силабус</w:t>
      </w:r>
      <w:r w:rsidDel="00000000" w:rsidR="00000000" w:rsidRPr="00000000">
        <w:rPr>
          <w:b w:val="1"/>
          <w:sz w:val="24"/>
          <w:szCs w:val="24"/>
          <w:rtl w:val="0"/>
        </w:rPr>
        <w:t xml:space="preserve"> курсу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0" w:line="240" w:lineRule="auto"/>
        <w:jc w:val="center"/>
        <w:rPr>
          <w:b w:val="1"/>
          <w:color w:val="8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Принципи узгодження граматичних часів</w:t>
      </w:r>
    </w:p>
    <w:tbl>
      <w:tblPr>
        <w:tblStyle w:val="Table1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84"/>
        <w:gridCol w:w="6761"/>
        <w:tblGridChange w:id="0">
          <w:tblGrid>
            <w:gridCol w:w="2584"/>
            <w:gridCol w:w="67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before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Обсяг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before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Загальна кількість: годин – 90; </w:t>
            </w:r>
          </w:p>
          <w:p w:rsidR="00000000" w:rsidDel="00000000" w:rsidP="00000000" w:rsidRDefault="00000000" w:rsidRPr="00000000" w14:paraId="0000000A">
            <w:pPr>
              <w:spacing w:before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Загальна кількість:  кредитів –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before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Семестр, рік навчання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before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семестр, 1 рік навчання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before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Дні, час, місце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before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 розкладом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before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Викладачі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before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к.ф.н., доц. Мойсеєнко Н.Г., к.п.н., доц. Хромченко О. В.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before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Е-mail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before="0" w:line="240" w:lineRule="auto"/>
              <w:jc w:val="both"/>
              <w:rPr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sz w:val="24"/>
                  <w:szCs w:val="24"/>
                  <w:rtl w:val="0"/>
                </w:rPr>
                <w:t xml:space="preserve">okne4morh@gmail.com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(Хромченко О. В.) </w:t>
            </w:r>
            <w:hyperlink r:id="rId7">
              <w:r w:rsidDel="00000000" w:rsidR="00000000" w:rsidRPr="00000000">
                <w:rPr>
                  <w:sz w:val="24"/>
                  <w:szCs w:val="24"/>
                  <w:rtl w:val="0"/>
                </w:rPr>
                <w:t xml:space="preserve">natalymoiswx@gmail.com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(Мойсеєнко Н.Г.)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before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Робоче місце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before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Кафедра граматики англійської мови, ауд.131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before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Консультації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before="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Онлайн-консультації: за графіком https://us04web.zoom.us/j/9963274343?pwd=MVI0NThadVJ1WmJLOEF4Z0lrdVZwUT09</w:t>
            </w:r>
          </w:p>
        </w:tc>
      </w:tr>
    </w:tbl>
    <w:p w:rsidR="00000000" w:rsidDel="00000000" w:rsidP="00000000" w:rsidRDefault="00000000" w:rsidRPr="00000000" w14:paraId="00000017">
      <w:pPr>
        <w:spacing w:before="0" w:line="240" w:lineRule="auto"/>
        <w:rPr>
          <w:b w:val="1"/>
          <w:smallCaps w:val="1"/>
          <w:color w:val="0000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0" w:line="240" w:lineRule="auto"/>
        <w:rPr>
          <w:b w:val="1"/>
          <w:smallCaps w:val="1"/>
          <w:color w:val="000099"/>
          <w:sz w:val="24"/>
          <w:szCs w:val="24"/>
        </w:rPr>
      </w:pPr>
      <w:r w:rsidDel="00000000" w:rsidR="00000000" w:rsidRPr="00000000">
        <w:rPr>
          <w:b w:val="1"/>
          <w:smallCaps w:val="1"/>
          <w:color w:val="000099"/>
          <w:sz w:val="24"/>
          <w:szCs w:val="24"/>
          <w:rtl w:val="0"/>
        </w:rPr>
        <w:t xml:space="preserve">КОМУНІКАЦІЯ </w:t>
      </w:r>
    </w:p>
    <w:p w:rsidR="00000000" w:rsidDel="00000000" w:rsidP="00000000" w:rsidRDefault="00000000" w:rsidRPr="00000000" w14:paraId="00000019">
      <w:pPr>
        <w:spacing w:before="0" w:lineRule="auto"/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Онлайн-лекції проводяться в zoom-конференції за посиланням </w:t>
      </w:r>
    </w:p>
    <w:p w:rsidR="00000000" w:rsidDel="00000000" w:rsidP="00000000" w:rsidRDefault="00000000" w:rsidRPr="00000000" w14:paraId="0000001A">
      <w:pPr>
        <w:spacing w:before="0" w:line="240" w:lineRule="auto"/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Хромченко Олена Василівна :</w:t>
      </w:r>
    </w:p>
    <w:p w:rsidR="00000000" w:rsidDel="00000000" w:rsidP="00000000" w:rsidRDefault="00000000" w:rsidRPr="00000000" w14:paraId="0000001B">
      <w:pPr>
        <w:spacing w:before="0" w:line="240" w:lineRule="auto"/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Идентификатор конференции: 996 327 4343</w:t>
      </w:r>
    </w:p>
    <w:p w:rsidR="00000000" w:rsidDel="00000000" w:rsidP="00000000" w:rsidRDefault="00000000" w:rsidRPr="00000000" w14:paraId="0000001C">
      <w:pPr>
        <w:spacing w:before="0" w:line="240" w:lineRule="auto"/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https://us04web.zoom.us/j/9963274343?pwd=MVI0NThadVJ1WmJLOEF4Z0lrdVZwUT09</w:t>
      </w:r>
    </w:p>
    <w:p w:rsidR="00000000" w:rsidDel="00000000" w:rsidP="00000000" w:rsidRDefault="00000000" w:rsidRPr="00000000" w14:paraId="0000001D">
      <w:pPr>
        <w:spacing w:before="0" w:line="240" w:lineRule="auto"/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Код доступа: H63Gvr</w:t>
      </w:r>
    </w:p>
    <w:p w:rsidR="00000000" w:rsidDel="00000000" w:rsidP="00000000" w:rsidRDefault="00000000" w:rsidRPr="00000000" w14:paraId="0000001E">
      <w:pPr>
        <w:spacing w:before="0" w:line="240" w:lineRule="auto"/>
        <w:ind w:firstLine="708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0" w:line="240" w:lineRule="auto"/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Мойсеєнко Наталія Григорівна:</w:t>
      </w:r>
    </w:p>
    <w:p w:rsidR="00000000" w:rsidDel="00000000" w:rsidP="00000000" w:rsidRDefault="00000000" w:rsidRPr="00000000" w14:paraId="00000020">
      <w:pPr>
        <w:spacing w:before="0" w:line="240" w:lineRule="auto"/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https://us04web.zoom.us/j/71889599560?pwd=RUJOOWF1NEZ4eTIzQ3hXalBnM1YrQT09</w:t>
      </w:r>
    </w:p>
    <w:p w:rsidR="00000000" w:rsidDel="00000000" w:rsidP="00000000" w:rsidRDefault="00000000" w:rsidRPr="00000000" w14:paraId="00000021">
      <w:pPr>
        <w:spacing w:before="0" w:line="240" w:lineRule="auto"/>
        <w:ind w:firstLine="708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0" w:line="240" w:lineRule="auto"/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Идентификатор конференции: 718 8959 9560</w:t>
      </w:r>
    </w:p>
    <w:p w:rsidR="00000000" w:rsidDel="00000000" w:rsidP="00000000" w:rsidRDefault="00000000" w:rsidRPr="00000000" w14:paraId="00000023">
      <w:pPr>
        <w:spacing w:before="0" w:line="240" w:lineRule="auto"/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Код доступа: kBt8uD</w:t>
      </w:r>
    </w:p>
    <w:p w:rsidR="00000000" w:rsidDel="00000000" w:rsidP="00000000" w:rsidRDefault="00000000" w:rsidRPr="00000000" w14:paraId="00000024">
      <w:pPr>
        <w:spacing w:before="0" w:line="240" w:lineRule="auto"/>
        <w:ind w:firstLine="708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0" w:line="240" w:lineRule="auto"/>
        <w:rPr>
          <w:sz w:val="24"/>
          <w:szCs w:val="24"/>
        </w:rPr>
      </w:pPr>
      <w:r w:rsidDel="00000000" w:rsidR="00000000" w:rsidRPr="00000000">
        <w:rPr>
          <w:b w:val="1"/>
          <w:smallCaps w:val="1"/>
          <w:color w:val="000099"/>
          <w:sz w:val="24"/>
          <w:szCs w:val="24"/>
          <w:rtl w:val="0"/>
        </w:rPr>
        <w:t xml:space="preserve">АНОТАЦІЯ  КУРСУ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6">
      <w:pPr>
        <w:tabs>
          <w:tab w:val="left" w:leader="none" w:pos="1800"/>
        </w:tabs>
        <w:spacing w:before="0" w:line="240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Предмет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вивчення дисципліни</w:t>
      </w:r>
      <w:r w:rsidDel="00000000" w:rsidR="00000000" w:rsidRPr="00000000">
        <w:rPr>
          <w:sz w:val="24"/>
          <w:szCs w:val="24"/>
          <w:rtl w:val="0"/>
        </w:rPr>
        <w:t xml:space="preserve">: граматична система англійської мови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0" w:line="240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Пререквізити курсу: </w:t>
      </w:r>
      <w:r w:rsidDel="00000000" w:rsidR="00000000" w:rsidRPr="00000000">
        <w:rPr>
          <w:sz w:val="24"/>
          <w:szCs w:val="24"/>
          <w:rtl w:val="0"/>
        </w:rPr>
        <w:t xml:space="preserve">Основна іноземна мова (англійська); Актуальне членування англійського мовлення; Класифікація частин мови.</w:t>
      </w:r>
    </w:p>
    <w:p w:rsidR="00000000" w:rsidDel="00000000" w:rsidP="00000000" w:rsidRDefault="00000000" w:rsidRPr="00000000" w14:paraId="00000028">
      <w:pPr>
        <w:spacing w:before="0" w:line="240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Постреквізити</w:t>
      </w:r>
      <w:r w:rsidDel="00000000" w:rsidR="00000000" w:rsidRPr="00000000">
        <w:rPr>
          <w:i w:val="1"/>
          <w:sz w:val="24"/>
          <w:szCs w:val="24"/>
          <w:rtl w:val="0"/>
        </w:rPr>
        <w:t xml:space="preserve"> курсу: </w:t>
      </w:r>
      <w:r w:rsidDel="00000000" w:rsidR="00000000" w:rsidRPr="00000000">
        <w:rPr>
          <w:sz w:val="24"/>
          <w:szCs w:val="24"/>
          <w:rtl w:val="0"/>
        </w:rPr>
        <w:t xml:space="preserve">Основна іноземна мова (англійська); Вступ до перекладознавства; Основи синтаксичного аналізу речення.</w:t>
      </w:r>
    </w:p>
    <w:p w:rsidR="00000000" w:rsidDel="00000000" w:rsidP="00000000" w:rsidRDefault="00000000" w:rsidRPr="00000000" w14:paraId="00000029">
      <w:pPr>
        <w:spacing w:before="0" w:line="240" w:lineRule="auto"/>
        <w:ind w:firstLine="708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Мета  курсу: </w:t>
      </w:r>
      <w:r w:rsidDel="00000000" w:rsidR="00000000" w:rsidRPr="00000000">
        <w:rPr>
          <w:sz w:val="24"/>
          <w:szCs w:val="24"/>
          <w:rtl w:val="0"/>
        </w:rPr>
        <w:t xml:space="preserve">ознайомити здобувачів вищої освіти з граматичною системою англійської мови, зокрема з принципами узгодження граматичних часів в процесі трансформації прямої мови в непряму, привити навички нормативного вживання правил узгодження граматичних часів в сучасній англійській мові.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0" w:line="240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Завдання дисципліни</w:t>
      </w:r>
      <w:r w:rsidDel="00000000" w:rsidR="00000000" w:rsidRPr="00000000">
        <w:rPr>
          <w:sz w:val="24"/>
          <w:szCs w:val="24"/>
          <w:rtl w:val="0"/>
        </w:rPr>
        <w:t xml:space="preserve">: надати здобувачам вищої освіти систематизовані, глибокі знання за темою “Agreement Between the Tenses of Verbs”, навчити їх коректно та вільно  вживати правила узгодження граматичних часів в сучасній англійській мові, як в письмовому, так і в усному діалогічному та монологічному мовленні.</w:t>
      </w:r>
    </w:p>
    <w:p w:rsidR="00000000" w:rsidDel="00000000" w:rsidP="00000000" w:rsidRDefault="00000000" w:rsidRPr="00000000" w14:paraId="0000002B">
      <w:pPr>
        <w:spacing w:before="0" w:line="24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Очікувані результати: </w:t>
      </w:r>
      <w:r w:rsidDel="00000000" w:rsidR="00000000" w:rsidRPr="00000000">
        <w:rPr>
          <w:sz w:val="24"/>
          <w:szCs w:val="24"/>
          <w:rtl w:val="0"/>
        </w:rPr>
        <w:t xml:space="preserve">у результаті вивчення навчальної дисципліни здобувач вищої освіти повинен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знати:</w:t>
      </w:r>
      <w:r w:rsidDel="00000000" w:rsidR="00000000" w:rsidRPr="00000000">
        <w:rPr>
          <w:sz w:val="24"/>
          <w:szCs w:val="24"/>
          <w:rtl w:val="0"/>
        </w:rPr>
        <w:t xml:space="preserve"> теоретичні основи та принципи узгодження граматичних часів, особливості вживання принципів узгодження граматичних часів у різних типах речень; правила відсутності узгодження часів при вираженні загальновідомих істин в означальних та порівняльних реченнях.</w:t>
      </w:r>
    </w:p>
    <w:p w:rsidR="00000000" w:rsidDel="00000000" w:rsidP="00000000" w:rsidRDefault="00000000" w:rsidRPr="00000000" w14:paraId="0000002C">
      <w:pPr>
        <w:widowControl w:val="0"/>
        <w:tabs>
          <w:tab w:val="left" w:leader="none" w:pos="284"/>
          <w:tab w:val="left" w:leader="none" w:pos="567"/>
        </w:tabs>
        <w:spacing w:before="0" w:line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вміти:</w:t>
      </w:r>
      <w:r w:rsidDel="00000000" w:rsidR="00000000" w:rsidRPr="00000000">
        <w:rPr>
          <w:sz w:val="24"/>
          <w:szCs w:val="24"/>
          <w:rtl w:val="0"/>
        </w:rPr>
        <w:t xml:space="preserve"> використовувати принципи узгодження граматичних часів з метою успішної реалізації комунікації; здійснювати комунікацію англійською мовою, яка є коректною на всіх рівнях.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0" w:line="240" w:lineRule="auto"/>
        <w:rPr>
          <w:b w:val="1"/>
          <w:color w:val="000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0" w:line="24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ОПИС КУРСУ</w:t>
      </w:r>
    </w:p>
    <w:p w:rsidR="00000000" w:rsidDel="00000000" w:rsidP="00000000" w:rsidRDefault="00000000" w:rsidRPr="00000000" w14:paraId="0000002F">
      <w:pPr>
        <w:pStyle w:val="Heading1"/>
        <w:widowControl w:val="0"/>
        <w:spacing w:after="0" w:before="0" w:line="240" w:lineRule="auto"/>
        <w:ind w:firstLine="708"/>
        <w:jc w:val="both"/>
        <w:rPr>
          <w:i w:val="1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Форми і методи навчання</w:t>
      </w:r>
    </w:p>
    <w:p w:rsidR="00000000" w:rsidDel="00000000" w:rsidP="00000000" w:rsidRDefault="00000000" w:rsidRPr="00000000" w14:paraId="00000030">
      <w:pPr>
        <w:widowControl w:val="0"/>
        <w:spacing w:before="0" w:line="240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Курс буде викладений у формі практичних (36 годин очна форма/14 годин заочна форма навчання), організації самостійної роботи студентів  (54 години очна форма/76 годин заочна форма навчання).</w:t>
      </w:r>
    </w:p>
    <w:p w:rsidR="00000000" w:rsidDel="00000000" w:rsidP="00000000" w:rsidRDefault="00000000" w:rsidRPr="00000000" w14:paraId="00000031">
      <w:pPr>
        <w:widowControl w:val="0"/>
        <w:spacing w:before="0" w:line="240" w:lineRule="auto"/>
        <w:ind w:firstLine="708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Під час викладання дисципліни використовуються </w:t>
      </w:r>
      <w:r w:rsidDel="00000000" w:rsidR="00000000" w:rsidRPr="00000000">
        <w:rPr>
          <w:b w:val="1"/>
          <w:sz w:val="24"/>
          <w:szCs w:val="24"/>
          <w:rtl w:val="0"/>
        </w:rPr>
        <w:t xml:space="preserve">словесні</w:t>
      </w:r>
      <w:r w:rsidDel="00000000" w:rsidR="00000000" w:rsidRPr="00000000">
        <w:rPr>
          <w:sz w:val="24"/>
          <w:szCs w:val="24"/>
          <w:rtl w:val="0"/>
        </w:rPr>
        <w:t xml:space="preserve"> (пояснення правил, пояснення граматичної форми, граматичних явищ) та </w:t>
      </w:r>
      <w:r w:rsidDel="00000000" w:rsidR="00000000" w:rsidRPr="00000000">
        <w:rPr>
          <w:b w:val="1"/>
          <w:sz w:val="24"/>
          <w:szCs w:val="24"/>
          <w:rtl w:val="0"/>
        </w:rPr>
        <w:t xml:space="preserve">практичні </w:t>
      </w:r>
      <w:r w:rsidDel="00000000" w:rsidR="00000000" w:rsidRPr="00000000">
        <w:rPr>
          <w:sz w:val="24"/>
          <w:szCs w:val="24"/>
          <w:rtl w:val="0"/>
        </w:rPr>
        <w:t xml:space="preserve">(самостійні завдання, тренувальні практичні вправи: рецептивні, репродуктивні та продуктивні, </w:t>
      </w:r>
      <w:r w:rsidDel="00000000" w:rsidR="00000000" w:rsidRPr="00000000">
        <w:rPr>
          <w:sz w:val="24"/>
          <w:szCs w:val="24"/>
          <w:rtl w:val="0"/>
        </w:rPr>
        <w:t xml:space="preserve">некомунікативного</w:t>
      </w:r>
      <w:r w:rsidDel="00000000" w:rsidR="00000000" w:rsidRPr="00000000">
        <w:rPr>
          <w:sz w:val="24"/>
          <w:szCs w:val="24"/>
          <w:rtl w:val="0"/>
        </w:rPr>
        <w:t xml:space="preserve">, умовно-комунікативного та комунікативного видів)</w:t>
      </w:r>
      <w:r w:rsidDel="00000000" w:rsidR="00000000" w:rsidRPr="00000000">
        <w:rPr>
          <w:b w:val="1"/>
          <w:sz w:val="24"/>
          <w:szCs w:val="24"/>
          <w:rtl w:val="0"/>
        </w:rPr>
        <w:t xml:space="preserve"> методи навчання.</w:t>
      </w:r>
    </w:p>
    <w:p w:rsidR="00000000" w:rsidDel="00000000" w:rsidP="00000000" w:rsidRDefault="00000000" w:rsidRPr="00000000" w14:paraId="00000032">
      <w:pPr>
        <w:widowControl w:val="0"/>
        <w:spacing w:before="0" w:line="240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0" w:line="240" w:lineRule="auto"/>
        <w:ind w:firstLine="708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Зміст навчальної дисципліни </w:t>
      </w:r>
    </w:p>
    <w:p w:rsidR="00000000" w:rsidDel="00000000" w:rsidP="00000000" w:rsidRDefault="00000000" w:rsidRPr="00000000" w14:paraId="00000034">
      <w:pPr>
        <w:spacing w:before="0" w:line="240" w:lineRule="auto"/>
        <w:ind w:firstLine="720.0000000000001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Theme 1</w:t>
      </w:r>
      <w:r w:rsidDel="00000000" w:rsidR="00000000" w:rsidRPr="00000000">
        <w:rPr>
          <w:sz w:val="24"/>
          <w:szCs w:val="24"/>
          <w:rtl w:val="0"/>
        </w:rPr>
        <w:t xml:space="preserve">. Succession of Tenses. Advanced Points. Tense Harmony as a Set of Grammatical Rules of a Particular Language.</w:t>
      </w:r>
    </w:p>
    <w:p w:rsidR="00000000" w:rsidDel="00000000" w:rsidP="00000000" w:rsidRDefault="00000000" w:rsidRPr="00000000" w14:paraId="00000035">
      <w:pPr>
        <w:spacing w:before="0" w:line="240" w:lineRule="auto"/>
        <w:ind w:firstLine="720.0000000000001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Theme 2. </w:t>
      </w:r>
      <w:r w:rsidDel="00000000" w:rsidR="00000000" w:rsidRPr="00000000">
        <w:rPr>
          <w:sz w:val="24"/>
          <w:szCs w:val="24"/>
          <w:rtl w:val="0"/>
        </w:rPr>
        <w:t xml:space="preserve">An Agreement in Tense between the Verb Phrases in the Main Clause and a Subordinate Clause. Basic Rules. Backshifting.  </w:t>
      </w:r>
    </w:p>
    <w:p w:rsidR="00000000" w:rsidDel="00000000" w:rsidP="00000000" w:rsidRDefault="00000000" w:rsidRPr="00000000" w14:paraId="00000036">
      <w:pPr>
        <w:spacing w:before="0" w:line="240" w:lineRule="auto"/>
        <w:ind w:firstLine="720.0000000000001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Theme 3.</w:t>
      </w:r>
      <w:r w:rsidDel="00000000" w:rsidR="00000000" w:rsidRPr="00000000">
        <w:rPr>
          <w:sz w:val="24"/>
          <w:szCs w:val="24"/>
          <w:rtl w:val="0"/>
        </w:rPr>
        <w:t xml:space="preserve"> The Sequence of Tenses in Different Types of Embedded Clauses. The Use of a Content Clause or Infinitival</w:t>
      </w:r>
    </w:p>
    <w:p w:rsidR="00000000" w:rsidDel="00000000" w:rsidP="00000000" w:rsidRDefault="00000000" w:rsidRPr="00000000" w14:paraId="00000037">
      <w:pPr>
        <w:spacing w:before="0" w:line="240" w:lineRule="auto"/>
        <w:ind w:firstLine="720.0000000000001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Theme 4. </w:t>
      </w:r>
      <w:r w:rsidDel="00000000" w:rsidR="00000000" w:rsidRPr="00000000">
        <w:rPr>
          <w:sz w:val="24"/>
          <w:szCs w:val="24"/>
          <w:rtl w:val="0"/>
        </w:rPr>
        <w:t xml:space="preserve">An attracted Sequence of Tenses. A Natural Sequence of Tenses. </w:t>
      </w:r>
    </w:p>
    <w:p w:rsidR="00000000" w:rsidDel="00000000" w:rsidP="00000000" w:rsidRDefault="00000000" w:rsidRPr="00000000" w14:paraId="00000038">
      <w:pPr>
        <w:spacing w:before="0" w:line="240" w:lineRule="auto"/>
        <w:ind w:firstLine="720.0000000000001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Theme 5.</w:t>
      </w:r>
      <w:r w:rsidDel="00000000" w:rsidR="00000000" w:rsidRPr="00000000">
        <w:rPr>
          <w:sz w:val="24"/>
          <w:szCs w:val="24"/>
          <w:rtl w:val="0"/>
        </w:rPr>
        <w:t xml:space="preserve"> The Use of Tenses in Conventional Direct Discourse. Advanced Points.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0" w:line="240" w:lineRule="auto"/>
        <w:ind w:firstLine="720.0000000000001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Theme 6. </w:t>
      </w:r>
      <w:r w:rsidDel="00000000" w:rsidR="00000000" w:rsidRPr="00000000">
        <w:rPr>
          <w:sz w:val="24"/>
          <w:szCs w:val="24"/>
          <w:rtl w:val="0"/>
        </w:rPr>
        <w:t xml:space="preserve">Ways of Relating What a Person Has Said. Advanced Points. The Use of the Speaker’s Exact Words. The Replacement of Demonstrative Pronouns and Adverbials (Adverbs and Adverbial Phrases). </w:t>
      </w:r>
    </w:p>
    <w:p w:rsidR="00000000" w:rsidDel="00000000" w:rsidP="00000000" w:rsidRDefault="00000000" w:rsidRPr="00000000" w14:paraId="0000003A">
      <w:pPr>
        <w:spacing w:before="0" w:line="240" w:lineRule="auto"/>
        <w:ind w:firstLine="720.0000000000001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Theme 7. </w:t>
      </w:r>
      <w:r w:rsidDel="00000000" w:rsidR="00000000" w:rsidRPr="00000000">
        <w:rPr>
          <w:sz w:val="24"/>
          <w:szCs w:val="24"/>
          <w:rtl w:val="0"/>
        </w:rPr>
        <w:t xml:space="preserve">Advanced Points of Backshifting. Agreement in Tenses with Unreal Past Tenses (Subjunctives) and Modals in Indirect Discourse. </w:t>
      </w:r>
    </w:p>
    <w:p w:rsidR="00000000" w:rsidDel="00000000" w:rsidP="00000000" w:rsidRDefault="00000000" w:rsidRPr="00000000" w14:paraId="0000003B">
      <w:pPr>
        <w:spacing w:before="0" w:line="240" w:lineRule="auto"/>
        <w:ind w:firstLine="720.0000000000001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Theme 8. </w:t>
      </w:r>
      <w:r w:rsidDel="00000000" w:rsidR="00000000" w:rsidRPr="00000000">
        <w:rPr>
          <w:sz w:val="24"/>
          <w:szCs w:val="24"/>
          <w:rtl w:val="0"/>
        </w:rPr>
        <w:t xml:space="preserve">Different Types of Interrogative Sentences in Indirect Discourse.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Advanced Points.</w:t>
      </w:r>
    </w:p>
    <w:p w:rsidR="00000000" w:rsidDel="00000000" w:rsidP="00000000" w:rsidRDefault="00000000" w:rsidRPr="00000000" w14:paraId="0000003C">
      <w:pPr>
        <w:spacing w:before="0" w:line="240" w:lineRule="auto"/>
        <w:ind w:firstLine="720.0000000000001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Theme 9. </w:t>
      </w:r>
      <w:r w:rsidDel="00000000" w:rsidR="00000000" w:rsidRPr="00000000">
        <w:rPr>
          <w:sz w:val="24"/>
          <w:szCs w:val="24"/>
          <w:rtl w:val="0"/>
        </w:rPr>
        <w:t xml:space="preserve">Indirect Quotations after a Past Tense Verb. Advanced Points.</w:t>
      </w:r>
    </w:p>
    <w:p w:rsidR="00000000" w:rsidDel="00000000" w:rsidP="00000000" w:rsidRDefault="00000000" w:rsidRPr="00000000" w14:paraId="0000003D">
      <w:pPr>
        <w:spacing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0" w:line="240" w:lineRule="auto"/>
        <w:ind w:firstLine="708"/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Перелік  рекомендованої літератури: </w:t>
      </w:r>
    </w:p>
    <w:p w:rsidR="00000000" w:rsidDel="00000000" w:rsidP="00000000" w:rsidRDefault="00000000" w:rsidRPr="00000000" w14:paraId="0000003F">
      <w:pPr>
        <w:shd w:fill="ffffff" w:val="clear"/>
        <w:spacing w:before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before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Основна</w:t>
      </w:r>
    </w:p>
    <w:p w:rsidR="00000000" w:rsidDel="00000000" w:rsidP="00000000" w:rsidRDefault="00000000" w:rsidRPr="00000000" w14:paraId="00000041">
      <w:pPr>
        <w:spacing w:before="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hd w:fill="ffffff" w:val="clear"/>
        <w:spacing w:before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Foley M., Hall D. MyGrammarLab. Advanced C1/C2. Pearson Education Limited, 2012. 410 p. 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hd w:fill="ffffff" w:val="clear"/>
        <w:spacing w:before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Hewings M. Advanced Grammar in Use. Cambridge: Cambridge University Press, 2013. 303 p. </w:t>
      </w:r>
    </w:p>
    <w:p w:rsidR="00000000" w:rsidDel="00000000" w:rsidP="00000000" w:rsidRDefault="00000000" w:rsidRPr="00000000" w14:paraId="00000044">
      <w:pPr>
        <w:shd w:fill="ffffff" w:val="clear"/>
        <w:spacing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before="0"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Додаткова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after="200" w:before="0" w:line="240" w:lineRule="auto"/>
        <w:ind w:left="794" w:hanging="5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Eastwood J. Oxford Learner’s Grammar. Grammar Finder. Reference.Oxford: Oxford University Press, 2015. 432 p. 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after="200" w:before="0" w:line="240" w:lineRule="auto"/>
        <w:ind w:left="794" w:hanging="5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Foley M., Hall D. Advanced Learners’ Grammar. A Self-Study Reference and Practice Book. Pearson Education Limited, 2012. 384p. 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after="200" w:before="0" w:line="240" w:lineRule="auto"/>
        <w:ind w:left="794" w:hanging="5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Mann M., Taylore-Knowles S. Destination C1/C2. Grammar and Vocabulary. Macmillan Publishers, 2012. 312 p.  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shd w:fill="ffffff" w:val="clear"/>
        <w:spacing w:before="0" w:line="240" w:lineRule="auto"/>
        <w:ind w:left="794" w:hanging="50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Swan M. Practical EnglishUsage. Oxford: Oxford University Press, 2017. 653 p. </w:t>
      </w:r>
    </w:p>
    <w:p w:rsidR="00000000" w:rsidDel="00000000" w:rsidP="00000000" w:rsidRDefault="00000000" w:rsidRPr="00000000" w14:paraId="0000004A">
      <w:pPr>
        <w:shd w:fill="ffffff" w:val="clear"/>
        <w:tabs>
          <w:tab w:val="left" w:leader="none" w:pos="365"/>
        </w:tabs>
        <w:spacing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tabs>
          <w:tab w:val="left" w:leader="none" w:pos="365"/>
        </w:tabs>
        <w:spacing w:before="0" w:line="240" w:lineRule="auto"/>
        <w:ind w:left="0" w:firstLine="720.000000000000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15. Електронні інформаційні ресурси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200" w:before="0" w:line="240" w:lineRule="auto"/>
        <w:ind w:left="0" w:firstLine="720.0000000000001"/>
        <w:rPr>
          <w:sz w:val="24"/>
          <w:szCs w:val="24"/>
        </w:rPr>
      </w:pPr>
      <w:hyperlink r:id="rId8">
        <w:r w:rsidDel="00000000" w:rsidR="00000000" w:rsidRPr="00000000">
          <w:rPr>
            <w:sz w:val="24"/>
            <w:szCs w:val="24"/>
            <w:rtl w:val="0"/>
          </w:rPr>
          <w:t xml:space="preserve">https://learnenglish.britishcouncil.org/</w:t>
        </w:r>
      </w:hyperlink>
      <w:r w:rsidDel="00000000" w:rsidR="00000000" w:rsidRPr="00000000">
        <w:rPr>
          <w:sz w:val="24"/>
          <w:szCs w:val="24"/>
          <w:rtl w:val="0"/>
        </w:rPr>
        <w:t xml:space="preserve"> - он-лайн платформа для вивчення англійської мови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00" w:before="0" w:line="240" w:lineRule="auto"/>
        <w:ind w:left="0" w:firstLine="720.0000000000001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ОЦІНЮВАННЯ</w:t>
      </w:r>
    </w:p>
    <w:p w:rsidR="00000000" w:rsidDel="00000000" w:rsidP="00000000" w:rsidRDefault="00000000" w:rsidRPr="00000000" w14:paraId="0000004E">
      <w:pPr>
        <w:spacing w:after="200" w:before="0" w:line="240" w:lineRule="auto"/>
        <w:ind w:left="0" w:firstLine="720.000000000000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 ході поточного контролю студент може отримати максимальну оцінку (100 балів) за кожну тему змістового модуля. Загальна оцінка з навчальної дисципліни – це є середнє арифметичне суми балів за поточний контроль. Здобувач вищої освіти одержує підсумкову оцінку, якщо за результатами поточного контролю він набрав за кожну тему 60 і більше балів.</w:t>
      </w:r>
    </w:p>
    <w:p w:rsidR="00000000" w:rsidDel="00000000" w:rsidP="00000000" w:rsidRDefault="00000000" w:rsidRPr="00000000" w14:paraId="0000004F">
      <w:pPr>
        <w:widowControl w:val="0"/>
        <w:spacing w:before="0" w:line="240" w:lineRule="auto"/>
        <w:ind w:left="0" w:firstLine="72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Якщо за результатами поточного контролю студент набрав менше 60 балів, або якщо він набрав 60 і більше балів, проте хоче поліпшити свій підсумковий результат, він повинен виконати залікове завдання і з урахуванням його результатів отримати відповідну кількість залікових балів із дисципліни.</w:t>
      </w:r>
    </w:p>
    <w:p w:rsidR="00000000" w:rsidDel="00000000" w:rsidP="00000000" w:rsidRDefault="00000000" w:rsidRPr="00000000" w14:paraId="00000050">
      <w:pPr>
        <w:widowControl w:val="0"/>
        <w:spacing w:before="0" w:line="24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before="0" w:line="240" w:lineRule="auto"/>
        <w:jc w:val="both"/>
        <w:rPr>
          <w:i w:val="1"/>
          <w:sz w:val="24"/>
          <w:szCs w:val="24"/>
          <w:u w:val="single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Самостійна робота студентів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053">
      <w:pPr>
        <w:spacing w:before="0" w:line="24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якості самостійної роботи здобувачам вищої освіти пропонується аналіз теоретичного матеріалу з певної теми, що вивчається. Перевірка теоретичних знань, рівень засвоєння теоретичного матеріалу з теми перевіряється в ході проведення усних опитувань під час практичних занять. У разі відсутності здобувачів освіти на занятті, вони мають підготувати стислий конспект з тем, що вивчаються. На вимогу викладача здобувач освіти має показати конспект з тем практичних та бути готовим відповісти на теоретичні питання з цієї ж теми. Для кращого засвоєння навчального матеріалу здобувачам вищої освіти пропонується  виконання практичних додаткових практичних тренувальних вправ. </w:t>
      </w:r>
    </w:p>
    <w:p w:rsidR="00000000" w:rsidDel="00000000" w:rsidP="00000000" w:rsidRDefault="00000000" w:rsidRPr="00000000" w14:paraId="00000054">
      <w:pPr>
        <w:widowControl w:val="0"/>
        <w:spacing w:before="0" w:line="240" w:lineRule="auto"/>
        <w:ind w:firstLine="708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Критерії оцінювання навчальних досягнень здобувачів освіти </w:t>
      </w:r>
    </w:p>
    <w:tbl>
      <w:tblPr>
        <w:tblStyle w:val="Table2"/>
        <w:tblW w:w="793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1"/>
        <w:gridCol w:w="1134"/>
        <w:gridCol w:w="5102"/>
        <w:tblGridChange w:id="0">
          <w:tblGrid>
            <w:gridCol w:w="1701"/>
            <w:gridCol w:w="1134"/>
            <w:gridCol w:w="5102"/>
          </w:tblGrid>
        </w:tblGridChange>
      </w:tblGrid>
      <w:tr>
        <w:trPr>
          <w:cantSplit w:val="0"/>
          <w:trHeight w:val="10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 системою ОНУ імені І.І.Мечникова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Оцінка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Визначення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before="0"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before="0"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90–100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before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Здобувач вищої освіти у повному обсязі володіє навчальним матеріалом,   повно та системно розкриває зміст теоретичних питань та практичних завдань. Виявляє цінні творчі ідеї. </w:t>
            </w:r>
          </w:p>
        </w:tc>
      </w:tr>
      <w:tr>
        <w:trPr>
          <w:cantSplit w:val="0"/>
          <w:trHeight w:val="11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before="0"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85–89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before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Здобувач вищої освіти достатньо правильно,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повно й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системно викладає матеріал щодо проблеми, яка розглядається на занятті, виявляючи при цьому творчий підхід.</w:t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before="0"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75–84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before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Здобувач вищої освіти припустився однієї-двох несуттєвих помилок, дотримуючись достатньої повноти, системності викладу матеріалу щодо проблеми, яка розглядається.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before="0"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70–74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before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Здобувач вищої освіти припустився двох суттєвих помилок у поданні матеріалу щодо проблеми, яка розглядається, відповідь є недостатньо повною й систематизованою.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before="0"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60–69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before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Здобувач вищої освіти припустився трьох та більше суттєвих помилок у поданні матеріалу щодо проблеми, яка розглядається, відповідь є недостатньо повною й систематизованою.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before="0"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35–59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before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Здобувач вищої освіти продемонстрував лише деякі елементи матеріалу щодо проблеми, яка розглядається.</w:t>
            </w:r>
          </w:p>
        </w:tc>
      </w:tr>
      <w:tr>
        <w:trPr>
          <w:cantSplit w:val="0"/>
          <w:trHeight w:val="7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before="0"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0–34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before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Здобувач вищої освіти не виклав матеріалу щодо проблеми, яка розглядається.</w:t>
            </w:r>
          </w:p>
        </w:tc>
      </w:tr>
    </w:tbl>
    <w:p w:rsidR="00000000" w:rsidDel="00000000" w:rsidP="00000000" w:rsidRDefault="00000000" w:rsidRPr="00000000" w14:paraId="00000070">
      <w:pPr>
        <w:widowControl w:val="0"/>
        <w:spacing w:after="3" w:before="71" w:line="240" w:lineRule="auto"/>
        <w:ind w:right="863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80"/>
          <w:sz w:val="24"/>
          <w:szCs w:val="24"/>
          <w:rtl w:val="0"/>
        </w:rPr>
        <w:t xml:space="preserve">ПОЛІТИКА  КУРСУ</w:t>
      </w: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(«правила  гри») </w:t>
      </w:r>
    </w:p>
    <w:p w:rsidR="00000000" w:rsidDel="00000000" w:rsidP="00000000" w:rsidRDefault="00000000" w:rsidRPr="00000000" w14:paraId="00000072">
      <w:pPr>
        <w:spacing w:before="0" w:line="240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Політика щодо дедлайнів та перескладання: </w:t>
      </w:r>
      <w:r w:rsidDel="00000000" w:rsidR="00000000" w:rsidRPr="00000000">
        <w:rPr>
          <w:sz w:val="24"/>
          <w:szCs w:val="24"/>
          <w:rtl w:val="0"/>
        </w:rPr>
        <w:t xml:space="preserve">Навчальна дисципліна “Принципи узгодження граматичних часів” має практичне спрямування та потребує відпрацювання практичних навичок із використанням різноманітних технологій. Присутність студентів на практичних заняттях та поточному контролі є невід'ємною частиною загальної підсумкової оцінки. Перескладання відбувається із дозволу деканату за наявності поважних причин.</w:t>
      </w:r>
    </w:p>
    <w:p w:rsidR="00000000" w:rsidDel="00000000" w:rsidP="00000000" w:rsidRDefault="00000000" w:rsidRPr="00000000" w14:paraId="00000073">
      <w:pPr>
        <w:spacing w:before="0" w:line="240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Політика щодо академічної доброчесності</w:t>
      </w:r>
      <w:r w:rsidDel="00000000" w:rsidR="00000000" w:rsidRPr="00000000">
        <w:rPr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регламентується Положення про запобігання та виявлення академічного плагіату у освітній та науково-дослідній роботі  учасників освітнього процесу та науковців університету ОНУ ім. І. І. Мечникова </w:t>
      </w:r>
    </w:p>
    <w:p w:rsidR="00000000" w:rsidDel="00000000" w:rsidP="00000000" w:rsidRDefault="00000000" w:rsidRPr="00000000" w14:paraId="00000074">
      <w:pPr>
        <w:spacing w:before="0"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http://onu.edu.ua/pub/bank/userfiles/files/acad_council/polozhennya-antiplagiat-22-02-2018.pdf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before="0" w:line="240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Політика щодо відвідування та запізнень</w:t>
      </w:r>
      <w:r w:rsidDel="00000000" w:rsidR="00000000" w:rsidRPr="00000000">
        <w:rPr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відвідування занять є обов'язковим. В окремих випадках навчання може відбуватись он-лайн з використанням дистанційних технологій. Порядок та умови такого навчання регламентуються Положення про організацію освітнього процесу в ОНУ </w:t>
      </w:r>
    </w:p>
    <w:p w:rsidR="00000000" w:rsidDel="00000000" w:rsidP="00000000" w:rsidRDefault="00000000" w:rsidRPr="00000000" w14:paraId="00000076">
      <w:pPr>
        <w:spacing w:before="0" w:line="240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https://onu.edu.ua/pub/bank/userfiles/files/documents/polozennya/poloz-org-osvit-process_2022.pdf</w:t>
      </w:r>
    </w:p>
    <w:p w:rsidR="00000000" w:rsidDel="00000000" w:rsidP="00000000" w:rsidRDefault="00000000" w:rsidRPr="00000000" w14:paraId="00000077">
      <w:pPr>
        <w:spacing w:before="0" w:line="240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Мобільні пристрої:</w:t>
      </w:r>
      <w:r w:rsidDel="00000000" w:rsidR="00000000" w:rsidRPr="00000000">
        <w:rPr>
          <w:sz w:val="24"/>
          <w:szCs w:val="24"/>
          <w:rtl w:val="0"/>
        </w:rPr>
        <w:t xml:space="preserve"> на заняттях здобувачі освіти мають поставити мобільні телефони на беззвучний режим</w:t>
      </w:r>
    </w:p>
    <w:p w:rsidR="00000000" w:rsidDel="00000000" w:rsidP="00000000" w:rsidRDefault="00000000" w:rsidRPr="00000000" w14:paraId="00000078">
      <w:pPr>
        <w:spacing w:before="0" w:line="240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Поведінка в аудиторії: </w:t>
      </w:r>
      <w:r w:rsidDel="00000000" w:rsidR="00000000" w:rsidRPr="00000000">
        <w:rPr>
          <w:sz w:val="24"/>
          <w:szCs w:val="24"/>
          <w:rtl w:val="0"/>
        </w:rPr>
        <w:t xml:space="preserve">атмосфера взаємоповаги та плідної співпраці.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before="0" w:line="240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before="0" w:line="240" w:lineRule="auto"/>
        <w:ind w:firstLine="72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before="0" w:line="240" w:lineRule="auto"/>
        <w:ind w:firstLine="72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before="0" w:line="240" w:lineRule="auto"/>
        <w:ind w:firstLine="72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before="0" w:line="240" w:lineRule="auto"/>
        <w:ind w:firstLine="72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before="0" w:line="240" w:lineRule="auto"/>
        <w:ind w:firstLine="72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sectPr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94" w:hanging="50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6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8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0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2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4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6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8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07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"/>
      </w:rPr>
    </w:rPrDefault>
    <w:pPrDefault>
      <w:pPr>
        <w:tabs>
          <w:tab w:val="right" w:leader="none" w:pos="9025.511811023624"/>
        </w:tabs>
        <w:spacing w:before="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360" w:lineRule="auto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360" w:lineRule="auto"/>
      <w:jc w:val="both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okne4morh@gmail.com" TargetMode="External"/><Relationship Id="rId7" Type="http://schemas.openxmlformats.org/officeDocument/2006/relationships/hyperlink" Target="mailto:natalymoiswx@gmail.com" TargetMode="External"/><Relationship Id="rId8" Type="http://schemas.openxmlformats.org/officeDocument/2006/relationships/hyperlink" Target="https://learnenglish.britishcounci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