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1F85" w14:textId="77777777" w:rsidR="000D0510" w:rsidRDefault="000D0510" w:rsidP="000D051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14:paraId="7FBF1352" w14:textId="77777777" w:rsidR="000D0510" w:rsidRDefault="000D0510" w:rsidP="000D0510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0D0510" w14:paraId="4F1EF009" w14:textId="77777777" w:rsidTr="000D0510">
        <w:trPr>
          <w:trHeight w:val="2143"/>
        </w:trPr>
        <w:tc>
          <w:tcPr>
            <w:tcW w:w="2093" w:type="dxa"/>
            <w:hideMark/>
          </w:tcPr>
          <w:p w14:paraId="6055211B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4E716EA2" wp14:editId="4CFD3762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3CE3ED70" w14:textId="77777777"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14:paraId="0F18B95B" w14:textId="77777777"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14:paraId="428B9F77" w14:textId="77777777"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14:paraId="0171760B" w14:textId="77777777" w:rsidR="000D0510" w:rsidRDefault="000D05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14:paraId="439AB31B" w14:textId="77777777" w:rsidR="000D0510" w:rsidRPr="00BC07F8" w:rsidRDefault="00BC07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C0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Силабус</w:t>
            </w:r>
            <w:proofErr w:type="spellEnd"/>
            <w:r w:rsidRPr="00BC0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03205338" w14:textId="0883DB76" w:rsidR="00BC07F8" w:rsidRDefault="00BC07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 w:rsidRPr="00BC07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ГЕНДЕРНА ЛІНГВІСТИКА</w:t>
            </w:r>
          </w:p>
        </w:tc>
        <w:tc>
          <w:tcPr>
            <w:tcW w:w="2409" w:type="dxa"/>
          </w:tcPr>
          <w:p w14:paraId="0A252C3E" w14:textId="77777777" w:rsidR="000D0510" w:rsidRDefault="000D051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14:paraId="70EB6BDD" w14:textId="77777777"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0D0510" w14:paraId="7867A101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5EFB4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8DF5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0D0510" w14:paraId="3D790E2F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89BA0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1122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0D0510" w14:paraId="3EA10188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1E9D4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522A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0D0510" w:rsidRPr="00BC07F8" w14:paraId="3E229A97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48404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5D7A" w14:textId="77777777" w:rsidR="000D0510" w:rsidRDefault="000D051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14:paraId="2153EADD" w14:textId="77777777"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B65D616" w14:textId="77777777"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7CD2CD80" w14:textId="77777777" w:rsidR="000D0510" w:rsidRDefault="000D051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0D0510" w:rsidRPr="00BC07F8" w14:paraId="061D95D6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16CB2" w14:textId="673E539C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</w:t>
            </w:r>
            <w:r w:rsidR="00BC07F8"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 xml:space="preserve">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A55" w14:textId="77777777" w:rsidR="000D0510" w:rsidRDefault="000D051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14:paraId="08104EA3" w14:textId="77777777" w:rsidR="000D0510" w:rsidRDefault="000D051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14:paraId="74A56B26" w14:textId="77777777" w:rsidR="000D0510" w:rsidRDefault="000D051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14:paraId="4112B7AF" w14:textId="00652441" w:rsidR="000D0510" w:rsidRPr="003F72DB" w:rsidRDefault="000D0510" w:rsidP="003F72DB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0D0510" w14:paraId="2BE4D7BF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9DD61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9346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 семестр 1 рік</w:t>
            </w:r>
          </w:p>
        </w:tc>
      </w:tr>
      <w:tr w:rsidR="000D0510" w14:paraId="44CAC9C7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3582D9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4BE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0D0510" w:rsidRPr="00BC07F8" w14:paraId="53D68E4C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BC1C4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5A51" w14:textId="0F871A00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  <w:r w:rsidR="00BC07F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з яких: лекції – 16 годин, практичні заняття – 14 годин, самостійна робота – 60 годин</w:t>
            </w:r>
          </w:p>
        </w:tc>
      </w:tr>
      <w:tr w:rsidR="000D0510" w14:paraId="2FA06702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1DCE47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460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0D0510" w14:paraId="6FBD6834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C934A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5660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0D0510" w:rsidRPr="00BC07F8" w14:paraId="16F616F7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9018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D6A4" w14:textId="77777777" w:rsidR="000D0510" w:rsidRDefault="000D05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0D0510" w:rsidRPr="00BC07F8" w14:paraId="63B72555" w14:textId="77777777" w:rsidTr="000D051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BBCD8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B6BB" w14:textId="77777777" w:rsidR="000D0510" w:rsidRDefault="000D051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0D0510" w:rsidRPr="00BC07F8" w14:paraId="6CE0B56B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02265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179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0D0510" w:rsidRPr="00BC07F8" w14:paraId="64AC8033" w14:textId="77777777" w:rsidTr="000D051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CAA62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2348" w14:textId="77777777" w:rsidR="000D0510" w:rsidRDefault="000D051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14:paraId="59F3450A" w14:textId="77777777" w:rsidR="000D0510" w:rsidRDefault="000D0510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lastRenderedPageBreak/>
              <w:t xml:space="preserve"> за графіком онлайн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Zoom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7" w:history="1"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proofErr w:type="spellStart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proofErr w:type="spellEnd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proofErr w:type="spellEnd"/>
              <w:r w:rsidRPr="007C15A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14:paraId="48BF1020" w14:textId="77777777" w:rsidR="000D0510" w:rsidRDefault="000D0510" w:rsidP="000D0510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14:paraId="64DA6F2B" w14:textId="77777777" w:rsidR="000D0510" w:rsidRDefault="000D0510" w:rsidP="003F72DB">
      <w:pPr>
        <w:spacing w:after="0" w:line="276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14:paraId="2AE7B2C4" w14:textId="77777777" w:rsidR="000D0510" w:rsidRDefault="000D0510" w:rsidP="003F72D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>АНОТАЦІЯ КУРСУ</w:t>
      </w:r>
    </w:p>
    <w:p w14:paraId="216F5D70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«Гендерна лінгвістика» є ознайомлення студентів із основними засадами гендерної наукової парадигми; узагальнення інформації з гендерної проблематики; опрацювання загальнонаукових питань статусу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гендеру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його соціокультурної природи; аналіз проявів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мовного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андроцентризму.</w:t>
      </w:r>
    </w:p>
    <w:p w14:paraId="508535D7" w14:textId="31893F93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«Гендерна лінгвістика» є такі: висвітлити стрижневі засади та поняття гендерної лінгвістики; визначити поняття гендерної ідентичності представників обох статей та специфіку її репрезентації у мові; розкрити особливості вербальної та невербальної комунікативної поведінки чоловіків і жінок.</w:t>
      </w:r>
    </w:p>
    <w:p w14:paraId="418A6ADB" w14:textId="23676472" w:rsidR="000D0510" w:rsidRPr="000D0510" w:rsidRDefault="000D0510" w:rsidP="003F72DB">
      <w:pPr>
        <w:spacing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Pr="000D0510">
        <w:rPr>
          <w:color w:val="000000"/>
          <w:sz w:val="28"/>
          <w:szCs w:val="28"/>
          <w:lang w:val="ru-RU"/>
        </w:rPr>
        <w:t xml:space="preserve">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14:paraId="4201028C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знати:</w:t>
      </w:r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uk-UA"/>
        </w:rPr>
        <w:t xml:space="preserve">оцінювати й критично аналізувати </w:t>
      </w:r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актуальні проблеми сучасної німецької гендерної лінгвістики; вплив соціолінгвістики й психолінгвістики на дослідження жіночого й чоловічого мовлення; засоби та способи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ідентифікації жінки; гендерні стереотипи у структурі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свідомості німців; гендерні виміри невербальної комунікації у художньому тексті; гендерні компоненти у структурі та семантиці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паремій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німецької мови;</w:t>
      </w:r>
    </w:p>
    <w:p w14:paraId="222CB760" w14:textId="0C508DA4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вміти</w:t>
      </w:r>
      <w:proofErr w:type="spellEnd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мовний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андроцентризм на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лексичному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фразеологічному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граматичному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рівнях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використовувати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знання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запланованого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прагматичного результату</w:t>
      </w:r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художній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вербальну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чоловіків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жінок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застосовувати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набуті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покращення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професійному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та з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знаходити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фразеологію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пареміологію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гендерного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376CBB4" w14:textId="7CBE0E04" w:rsidR="000D0510" w:rsidRDefault="000D0510" w:rsidP="003F72DB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14:paraId="6F718531" w14:textId="77777777" w:rsidR="000D0510" w:rsidRPr="000D0510" w:rsidRDefault="000D0510" w:rsidP="003F72DB">
      <w:pPr>
        <w:pStyle w:val="1"/>
        <w:spacing w:line="276" w:lineRule="auto"/>
        <w:ind w:left="799"/>
        <w:jc w:val="center"/>
      </w:pPr>
      <w:r w:rsidRPr="000D0510">
        <w:t xml:space="preserve">Змістовий модуль 1. </w:t>
      </w:r>
      <w:r w:rsidRPr="000D0510">
        <w:rPr>
          <w:b w:val="0"/>
        </w:rPr>
        <w:t>Актуальні проблеми сучасної німецької гендерної лінгвістики.</w:t>
      </w:r>
    </w:p>
    <w:p w14:paraId="710F899B" w14:textId="77777777" w:rsidR="000D0510" w:rsidRPr="000D0510" w:rsidRDefault="000D0510" w:rsidP="003F72DB">
      <w:pPr>
        <w:spacing w:line="276" w:lineRule="auto"/>
        <w:ind w:left="79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етапі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філософія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проблематика,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методологія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понять «гендерна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» та «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плив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соціолінгвістики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психолінгвістики</w:t>
      </w:r>
      <w:proofErr w:type="spellEnd"/>
      <w:proofErr w:type="gram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жіночого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чоловічого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C1EF338" w14:textId="77777777" w:rsidR="000D0510" w:rsidRPr="000D0510" w:rsidRDefault="000D0510" w:rsidP="003F72DB">
      <w:pPr>
        <w:spacing w:line="276" w:lineRule="auto"/>
        <w:ind w:left="79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>Тема 2</w:t>
      </w: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Гендерна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асиметрія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асиметрії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німецького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Прояви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андроцентризму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лексичному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граматичному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рівнях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Інтерпретація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антропоцентричного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феномену. </w:t>
      </w:r>
    </w:p>
    <w:p w14:paraId="4A65AB8C" w14:textId="77777777" w:rsidR="000D0510" w:rsidRPr="000D0510" w:rsidRDefault="000D0510" w:rsidP="003F72DB">
      <w:pPr>
        <w:spacing w:line="276" w:lineRule="auto"/>
        <w:ind w:left="79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3.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ідентифікації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Актуальність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художній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тенденції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вживання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ЗМІ.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972EB9B" w14:textId="77777777" w:rsidR="000D0510" w:rsidRPr="000D0510" w:rsidRDefault="000D0510" w:rsidP="003F72DB">
      <w:pPr>
        <w:spacing w:line="276" w:lineRule="auto"/>
        <w:ind w:left="7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C579AC" w14:textId="77777777" w:rsidR="000D0510" w:rsidRPr="000D0510" w:rsidRDefault="000D0510" w:rsidP="003F72DB">
      <w:pPr>
        <w:spacing w:line="276" w:lineRule="auto"/>
        <w:ind w:left="79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0D05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Сучасне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D95F3A" w14:textId="77777777" w:rsidR="000D0510" w:rsidRPr="000D0510" w:rsidRDefault="000D0510" w:rsidP="003F72DB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4.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свідомості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німців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чинник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етнокультури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традиційних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ролей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суспільство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Фактори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впливають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стереотипів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0270033" w14:textId="77777777" w:rsidR="000D0510" w:rsidRPr="000D0510" w:rsidRDefault="000D0510" w:rsidP="003F72DB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5.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жінок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Виявлення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специфіки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процесів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чоловіком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жінкою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виміри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невербальної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художньому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33F6CFC" w14:textId="77777777" w:rsidR="000D0510" w:rsidRPr="000D0510" w:rsidRDefault="000D0510" w:rsidP="003F72DB">
      <w:pPr>
        <w:spacing w:before="4" w:line="276" w:lineRule="auto"/>
        <w:ind w:left="84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051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6.</w:t>
      </w:r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Пареміологія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гендерного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аналізу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компонент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фразеологічного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Фразеологізми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як предмет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гендерних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досліджень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Гендерні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семантиці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паремій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німецької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0D05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344CBD4" w14:textId="77777777" w:rsidR="000D0510" w:rsidRPr="000D0510" w:rsidRDefault="000D0510" w:rsidP="003F72DB">
      <w:pPr>
        <w:spacing w:line="276" w:lineRule="auto"/>
        <w:rPr>
          <w:color w:val="000000"/>
          <w:sz w:val="28"/>
          <w:szCs w:val="28"/>
          <w:lang w:val="ru-RU"/>
        </w:rPr>
        <w:sectPr w:rsidR="000D0510" w:rsidRPr="000D0510">
          <w:pgSz w:w="11910" w:h="16840"/>
          <w:pgMar w:top="1040" w:right="900" w:bottom="1180" w:left="900" w:header="680" w:footer="680" w:gutter="0"/>
          <w:cols w:space="720"/>
        </w:sectPr>
      </w:pPr>
    </w:p>
    <w:p w14:paraId="014C340C" w14:textId="77777777" w:rsidR="000D0510" w:rsidRPr="000D0510" w:rsidRDefault="000D0510" w:rsidP="003F72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ru-RU"/>
        </w:rPr>
      </w:pPr>
    </w:p>
    <w:p w14:paraId="63757465" w14:textId="77777777" w:rsidR="000D0510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14:paraId="314D8A2C" w14:textId="77777777" w:rsidR="003F72DB" w:rsidRPr="003F72DB" w:rsidRDefault="003F72DB" w:rsidP="003F72DB">
      <w:pPr>
        <w:spacing w:line="276" w:lineRule="auto"/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доповідями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6BA79E7" w14:textId="77777777" w:rsidR="003F72DB" w:rsidRPr="003F72DB" w:rsidRDefault="003F72DB" w:rsidP="003F72DB">
      <w:pPr>
        <w:spacing w:line="276" w:lineRule="auto"/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D9242B" w14:textId="3BB7465F" w:rsidR="003F72DB" w:rsidRPr="003F72DB" w:rsidRDefault="003F72DB" w:rsidP="003F72DB">
      <w:pPr>
        <w:spacing w:line="276" w:lineRule="auto"/>
        <w:ind w:left="233" w:right="234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рефератів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презентацій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конспектів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7CC324" w14:textId="48BFB03E" w:rsidR="000D0510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6953725E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Основна</w:t>
      </w:r>
      <w:proofErr w:type="spellEnd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</w:p>
    <w:p w14:paraId="41577DBA" w14:textId="77777777" w:rsidR="003F72DB" w:rsidRPr="003F72DB" w:rsidRDefault="003F72DB" w:rsidP="003F72DB">
      <w:pPr>
        <w:tabs>
          <w:tab w:val="left" w:pos="577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Ґендерні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прикладні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монографія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/ В.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П.Кравець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[та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.] / </w:t>
      </w:r>
      <w:proofErr w:type="gram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за  ред.</w:t>
      </w:r>
      <w:proofErr w:type="gram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Кравця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proofErr w:type="gram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Тернопіль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книга – Богдан, 2013. 448 с.</w:t>
      </w:r>
    </w:p>
    <w:p w14:paraId="547F32E5" w14:textId="77777777" w:rsidR="003F72DB" w:rsidRPr="003F72DB" w:rsidRDefault="003F72DB" w:rsidP="003F72DB">
      <w:pPr>
        <w:tabs>
          <w:tab w:val="left" w:pos="577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Ґендерні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збірка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3. 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Запоріжжя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Друкарський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, 2011. 282 с.</w:t>
      </w:r>
    </w:p>
    <w:p w14:paraId="2ED04B5E" w14:textId="77777777" w:rsidR="003F72DB" w:rsidRPr="003F72DB" w:rsidRDefault="003F72DB" w:rsidP="003F72DB">
      <w:pPr>
        <w:tabs>
          <w:tab w:val="left" w:pos="577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Марценюк</w:t>
      </w:r>
      <w:proofErr w:type="spellEnd"/>
      <w:r w:rsidRPr="003F72DB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3F72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Гендер</w:t>
      </w:r>
      <w:r w:rsidRPr="003F72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3F72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72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Виклик</w:t>
      </w:r>
      <w:proofErr w:type="spellEnd"/>
      <w:r w:rsidRPr="003F72D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стереотипам.</w:t>
      </w:r>
      <w:r w:rsidRPr="003F72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proofErr w:type="gram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F72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F72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2017.</w:t>
      </w:r>
      <w:r w:rsidRPr="003F72D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256 с.</w:t>
      </w:r>
    </w:p>
    <w:p w14:paraId="07E81644" w14:textId="77777777" w:rsidR="003F72DB" w:rsidRPr="003F72DB" w:rsidRDefault="003F72DB" w:rsidP="003F72DB">
      <w:pPr>
        <w:tabs>
          <w:tab w:val="left" w:pos="577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Ставицька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Л.О. Гендер: мова,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свідомість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комунікація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proofErr w:type="gram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КММ, 2015. 440 с.</w:t>
      </w:r>
    </w:p>
    <w:p w14:paraId="6DAADC42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Kotthoff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, Helga (2017): Von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Syrx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Sternchen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großem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I und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bedeutungsschweren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Strichen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Über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geschlechtergerechte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Personenbezeichnungen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in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Texten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und die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Kreation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eines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schrägen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Registers. In: Constanze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Spieß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und Martin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Reisigl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(Hg.):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Sprache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und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Geschlecht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. Band 1: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Sprachpolitiken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und Grammatik (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Osnabrücker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Beiträge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zur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Sprachtheorie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(OBST)), S. 91–116.</w:t>
      </w:r>
    </w:p>
    <w:p w14:paraId="4ED0BA99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36BB4" w14:textId="77777777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Додаткова</w:t>
      </w:r>
      <w:proofErr w:type="spellEnd"/>
    </w:p>
    <w:p w14:paraId="0A97B65B" w14:textId="1555D54F" w:rsidR="003F72DB" w:rsidRPr="003F72DB" w:rsidRDefault="003F72DB" w:rsidP="003F72DB">
      <w:pPr>
        <w:tabs>
          <w:tab w:val="left" w:pos="954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Тихоновська</w:t>
      </w:r>
      <w:proofErr w:type="spellEnd"/>
      <w:r w:rsidRPr="003F72D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F72D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Мовленнєві</w:t>
      </w:r>
      <w:proofErr w:type="spellEnd"/>
      <w:r w:rsidRPr="003F72DB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3F72D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F72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межах</w:t>
      </w:r>
      <w:r w:rsidRPr="003F72D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міжгендерного</w:t>
      </w:r>
      <w:proofErr w:type="spellEnd"/>
      <w:r w:rsidRPr="003F72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3F72DB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матеріалі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художньої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прози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Науковий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вісник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Східноєвропейського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нац.</w:t>
      </w:r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ун-ту</w:t>
      </w:r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імені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 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Лесі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Українки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Філологічні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науки.</w:t>
      </w:r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Мовознавство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72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2013.  №</w:t>
      </w:r>
      <w:r w:rsidRPr="003F72D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18. С.</w:t>
      </w:r>
      <w:r w:rsidRPr="003F72D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104-108.</w:t>
      </w:r>
    </w:p>
    <w:p w14:paraId="793B6BFD" w14:textId="77777777" w:rsidR="003F72DB" w:rsidRPr="003F72DB" w:rsidRDefault="003F72DB" w:rsidP="003F72DB">
      <w:pPr>
        <w:tabs>
          <w:tab w:val="left" w:pos="954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Чуєшкова</w:t>
      </w:r>
      <w:proofErr w:type="spellEnd"/>
      <w:r w:rsidRPr="003F72D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О.</w:t>
      </w:r>
      <w:r w:rsidRPr="003F72D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3F72D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Термінологія</w:t>
      </w:r>
      <w:proofErr w:type="spellEnd"/>
      <w:r w:rsidRPr="003F72DB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Pr="003F72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лінгвістики</w:t>
      </w:r>
      <w:proofErr w:type="spellEnd"/>
      <w:r w:rsidRPr="003F72DB">
        <w:rPr>
          <w:rFonts w:ascii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Pr="003F72DB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система.</w:t>
      </w:r>
      <w:r w:rsidRPr="003F72DB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Вісник</w:t>
      </w:r>
      <w:proofErr w:type="spellEnd"/>
      <w:r w:rsidRPr="003F72DB">
        <w:rPr>
          <w:rFonts w:ascii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Національного</w:t>
      </w:r>
      <w:proofErr w:type="spellEnd"/>
      <w:r w:rsidRPr="003F72DB">
        <w:rPr>
          <w:rFonts w:ascii="Times New Roman" w:hAnsi="Times New Roman" w:cs="Times New Roman"/>
          <w:i/>
          <w:spacing w:val="3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університету</w:t>
      </w:r>
      <w:proofErr w:type="spellEnd"/>
      <w:r w:rsidRPr="003F72DB">
        <w:rPr>
          <w:rFonts w:ascii="Times New Roman" w:hAnsi="Times New Roman" w:cs="Times New Roman"/>
          <w:i/>
          <w:spacing w:val="45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Львівська</w:t>
      </w:r>
      <w:proofErr w:type="spellEnd"/>
      <w:r w:rsidRPr="003F72DB">
        <w:rPr>
          <w:rFonts w:ascii="Times New Roman" w:hAnsi="Times New Roman" w:cs="Times New Roman"/>
          <w:i/>
          <w:spacing w:val="-6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політехніка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».</w:t>
      </w:r>
      <w:r w:rsidRPr="003F72DB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Проблеми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української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термінології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3F72DB">
        <w:rPr>
          <w:rFonts w:ascii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2018.</w:t>
      </w:r>
      <w:r w:rsidRPr="003F72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F72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890.</w:t>
      </w:r>
      <w:r w:rsidRPr="003F72DB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3F72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81-84.</w:t>
      </w:r>
    </w:p>
    <w:p w14:paraId="77AACC2E" w14:textId="77777777" w:rsidR="003F72DB" w:rsidRPr="003F72DB" w:rsidRDefault="003F72DB" w:rsidP="003F72DB">
      <w:pPr>
        <w:tabs>
          <w:tab w:val="left" w:pos="954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3. Якименко Г. О. Критична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рефлексія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навколо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стратегій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жіночих</w:t>
      </w:r>
      <w:proofErr w:type="spellEnd"/>
      <w:r w:rsidRPr="003F72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текстів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F72D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Наукові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записки</w:t>
      </w:r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Харківського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національного</w:t>
      </w:r>
      <w:proofErr w:type="spellEnd"/>
      <w:r w:rsidRPr="003F72DB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педагогічного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університету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>ім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Г.С. Сковороди.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</w:rPr>
        <w:t>Сер</w:t>
      </w:r>
      <w:proofErr w:type="spellEnd"/>
      <w:proofErr w:type="gramStart"/>
      <w:r w:rsidRPr="003F72DB">
        <w:rPr>
          <w:rFonts w:ascii="Times New Roman" w:hAnsi="Times New Roman" w:cs="Times New Roman"/>
          <w:i/>
          <w:sz w:val="28"/>
          <w:szCs w:val="28"/>
        </w:rPr>
        <w:t>. :</w:t>
      </w:r>
      <w:proofErr w:type="gramEnd"/>
      <w:r w:rsidRPr="003F72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i/>
          <w:sz w:val="28"/>
          <w:szCs w:val="28"/>
        </w:rPr>
        <w:t>Літературознавство</w:t>
      </w:r>
      <w:proofErr w:type="spellEnd"/>
      <w:r w:rsidRPr="003F72DB">
        <w:rPr>
          <w:rFonts w:ascii="Times New Roman" w:hAnsi="Times New Roman" w:cs="Times New Roman"/>
          <w:i/>
          <w:sz w:val="28"/>
          <w:szCs w:val="28"/>
        </w:rPr>
        <w:t>.</w:t>
      </w:r>
      <w:r w:rsidRPr="003F72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</w:rPr>
        <w:t xml:space="preserve">2012.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>.</w:t>
      </w:r>
      <w:r w:rsidRPr="003F72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</w:rPr>
        <w:t>2 (1).</w:t>
      </w:r>
      <w:r w:rsidRPr="003F72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</w:rPr>
        <w:t>С.</w:t>
      </w:r>
      <w:r w:rsidRPr="003F72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</w:rPr>
        <w:t>163–168.</w:t>
      </w:r>
    </w:p>
    <w:p w14:paraId="6E6809E7" w14:textId="77777777" w:rsidR="003F72DB" w:rsidRPr="003F72DB" w:rsidRDefault="003F72DB" w:rsidP="003F72DB">
      <w:pPr>
        <w:tabs>
          <w:tab w:val="left" w:pos="954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2DB">
        <w:rPr>
          <w:rFonts w:ascii="Times New Roman" w:hAnsi="Times New Roman" w:cs="Times New Roman"/>
          <w:sz w:val="28"/>
          <w:szCs w:val="28"/>
        </w:rPr>
        <w:t xml:space="preserve">4. Tudor,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Alyosxa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(2010):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Rassismus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Migratismus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: Die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Relevanz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einer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kritischen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Differenzierung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. In: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Adibeli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Nduka- Agwu und Antje Lann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Hornscheidt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(Hg.):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Rassismus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auf gut Deutsch. Ein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kritisches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Nachschlagewerk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rassistischen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Sprachhandlungen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.             1. 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Auflage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72DB">
        <w:rPr>
          <w:rFonts w:ascii="Times New Roman" w:hAnsi="Times New Roman" w:cs="Times New Roman"/>
          <w:sz w:val="28"/>
          <w:szCs w:val="28"/>
        </w:rPr>
        <w:t>wissen</w:t>
      </w:r>
      <w:proofErr w:type="spellEnd"/>
      <w:r w:rsidRPr="003F72DB">
        <w:rPr>
          <w:rFonts w:ascii="Times New Roman" w:hAnsi="Times New Roman" w:cs="Times New Roman"/>
          <w:sz w:val="28"/>
          <w:szCs w:val="28"/>
        </w:rPr>
        <w:t xml:space="preserve"> &amp; praxis, 155). Frankfurt am Main: Brandes &amp; Apsel, S. 396–420.</w:t>
      </w:r>
    </w:p>
    <w:p w14:paraId="2850D33D" w14:textId="77777777" w:rsidR="003F72DB" w:rsidRPr="003F72DB" w:rsidRDefault="003F72DB" w:rsidP="003F72DB">
      <w:pPr>
        <w:pStyle w:val="a5"/>
        <w:tabs>
          <w:tab w:val="left" w:pos="1261"/>
        </w:tabs>
        <w:autoSpaceDE w:val="0"/>
        <w:autoSpaceDN w:val="0"/>
        <w:spacing w:line="276" w:lineRule="auto"/>
        <w:ind w:left="0"/>
        <w:contextualSpacing w:val="0"/>
        <w:jc w:val="right"/>
        <w:rPr>
          <w:sz w:val="28"/>
          <w:szCs w:val="28"/>
        </w:rPr>
      </w:pPr>
    </w:p>
    <w:p w14:paraId="3FC4896D" w14:textId="77777777" w:rsidR="003F72DB" w:rsidRPr="003F72DB" w:rsidRDefault="003F72DB" w:rsidP="003F72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642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Електронні</w:t>
      </w:r>
      <w:proofErr w:type="spellEnd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інформаційні</w:t>
      </w:r>
      <w:proofErr w:type="spellEnd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ресурси</w:t>
      </w:r>
      <w:proofErr w:type="spellEnd"/>
    </w:p>
    <w:p w14:paraId="71D8F243" w14:textId="77777777" w:rsidR="003F72DB" w:rsidRPr="003F72DB" w:rsidRDefault="003F72DB" w:rsidP="003F72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Дожук</w:t>
      </w:r>
      <w:proofErr w:type="spellEnd"/>
      <w:r w:rsidRPr="003F72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М.П.</w:t>
      </w:r>
      <w:r w:rsidRPr="003F72D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Pr="003F72D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гендеру</w:t>
      </w:r>
      <w:r w:rsidRPr="003F72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F72D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F72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3F72D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F72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 w:rsidRPr="003F72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мовознавстві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3F72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понятійний</w:t>
      </w:r>
      <w:proofErr w:type="spellEnd"/>
      <w:r w:rsidRPr="003F72DB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аспект.</w:t>
      </w:r>
      <w:r w:rsidRPr="003F72DB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proofErr w:type="gramStart"/>
      <w:r w:rsidRPr="003F72DB">
        <w:rPr>
          <w:rFonts w:ascii="Times New Roman" w:hAnsi="Times New Roman" w:cs="Times New Roman"/>
          <w:sz w:val="28"/>
          <w:szCs w:val="28"/>
        </w:rPr>
        <w:t>URL</w:t>
      </w:r>
      <w:r w:rsidRPr="003F72D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3F72DB">
        <w:rPr>
          <w:rFonts w:ascii="Times New Roman" w:hAnsi="Times New Roman" w:cs="Times New Roman"/>
          <w:color w:val="0000FF"/>
          <w:spacing w:val="-67"/>
          <w:sz w:val="28"/>
          <w:szCs w:val="28"/>
          <w:lang w:val="ru-RU"/>
        </w:rPr>
        <w:t xml:space="preserve"> </w:t>
      </w:r>
      <w:hyperlink r:id="rId8" w:history="1"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http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://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www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.</w:t>
        </w:r>
        <w:proofErr w:type="spellStart"/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confcontact</w:t>
        </w:r>
        <w:proofErr w:type="spellEnd"/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.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com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/2009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fil</w:t>
        </w:r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/7_</w:t>
        </w:r>
        <w:proofErr w:type="spellStart"/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dozhuk</w:t>
        </w:r>
        <w:proofErr w:type="spellEnd"/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  <w:lang w:val="ru-RU"/>
          </w:rPr>
          <w:t>.</w:t>
        </w:r>
        <w:proofErr w:type="spellStart"/>
        <w:r w:rsidRPr="003F72DB">
          <w:rPr>
            <w:rStyle w:val="a3"/>
            <w:rFonts w:ascii="Times New Roman" w:hAnsi="Times New Roman" w:cs="Times New Roman"/>
            <w:sz w:val="28"/>
            <w:szCs w:val="28"/>
            <w:u w:color="0000FF"/>
          </w:rPr>
          <w:t>htm</w:t>
        </w:r>
        <w:proofErr w:type="spellEnd"/>
      </w:hyperlink>
    </w:p>
    <w:p w14:paraId="2AD2E21D" w14:textId="77777777" w:rsidR="003F72DB" w:rsidRPr="003F72DB" w:rsidRDefault="003F72DB" w:rsidP="003F72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2. Мельник Ю.П.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Об’єктивація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гендерних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лінгвістичній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F72DB">
        <w:rPr>
          <w:rFonts w:ascii="Times New Roman" w:hAnsi="Times New Roman" w:cs="Times New Roman"/>
          <w:sz w:val="28"/>
          <w:szCs w:val="28"/>
        </w:rPr>
        <w:t>URL</w:t>
      </w:r>
      <w:r w:rsidRPr="003F72DB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3F72DB">
        <w:rPr>
          <w:rFonts w:ascii="Times New Roman" w:hAnsi="Times New Roman" w:cs="Times New Roman"/>
          <w:color w:val="0000FF"/>
          <w:spacing w:val="-67"/>
          <w:sz w:val="28"/>
          <w:szCs w:val="28"/>
        </w:rPr>
        <w:t xml:space="preserve"> </w:t>
      </w:r>
      <w:hyperlink r:id="rId9">
        <w:r w:rsidRPr="003F72D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http://www.nbuv.gov.ua/portal/Soc_Gum/VZhDU/2009_45/23_45.pdf</w:t>
        </w:r>
      </w:hyperlink>
    </w:p>
    <w:p w14:paraId="77392A0E" w14:textId="77777777" w:rsidR="003F72DB" w:rsidRPr="003F72DB" w:rsidRDefault="003F72DB" w:rsidP="003F72DB">
      <w:pPr>
        <w:spacing w:line="276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</w:pP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3. Словник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ґендерних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термінів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3F72DB">
        <w:rPr>
          <w:rFonts w:ascii="Times New Roman" w:hAnsi="Times New Roman" w:cs="Times New Roman"/>
          <w:sz w:val="28"/>
          <w:szCs w:val="28"/>
          <w:lang w:val="ru-RU"/>
        </w:rPr>
        <w:t>Укладач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З. В. Шевченко. </w:t>
      </w:r>
      <w:proofErr w:type="gramStart"/>
      <w:r w:rsidRPr="003F72DB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3F72D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10">
        <w:r w:rsidRPr="003F72DB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http://a-z-gender.net/ua/gendernij-stereotip.html</w:t>
        </w:r>
      </w:hyperlink>
    </w:p>
    <w:p w14:paraId="670F4BC7" w14:textId="77777777" w:rsidR="003F72DB" w:rsidRPr="003F72DB" w:rsidRDefault="003F72DB" w:rsidP="003F72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Словник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фемінітивів</w:t>
      </w:r>
      <w:proofErr w:type="spellEnd"/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F72DB">
        <w:rPr>
          <w:rFonts w:ascii="Times New Roman" w:hAnsi="Times New Roman" w:cs="Times New Roman"/>
          <w:sz w:val="28"/>
          <w:szCs w:val="28"/>
        </w:rPr>
        <w:t>URL</w:t>
      </w:r>
      <w:r w:rsidRPr="003F72D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F72DB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hyperlink r:id="rId11"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http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://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www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.</w:t>
        </w:r>
        <w:proofErr w:type="spellStart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wicc</w:t>
        </w:r>
        <w:proofErr w:type="spellEnd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.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net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.</w:t>
        </w:r>
        <w:proofErr w:type="spellStart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ua</w:t>
        </w:r>
        <w:proofErr w:type="spellEnd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/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media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/</w:t>
        </w:r>
        <w:proofErr w:type="spellStart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Slovnyk</w:t>
        </w:r>
        <w:proofErr w:type="spellEnd"/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_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fem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  <w:lang w:val="ru-RU"/>
          </w:rPr>
          <w:t>.</w:t>
        </w:r>
        <w:r w:rsidRPr="003F72DB">
          <w:rPr>
            <w:rFonts w:ascii="Times New Roman" w:hAnsi="Times New Roman" w:cs="Times New Roman"/>
            <w:color w:val="0000FF"/>
            <w:spacing w:val="-1"/>
            <w:sz w:val="28"/>
            <w:szCs w:val="28"/>
          </w:rPr>
          <w:t>pdf</w:t>
        </w:r>
      </w:hyperlink>
    </w:p>
    <w:p w14:paraId="3DE47F89" w14:textId="22C57D6D" w:rsidR="003F72DB" w:rsidRPr="003F72DB" w:rsidRDefault="003F72DB" w:rsidP="003F72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5. Frankfurter Allgemeine Zeitung (Hg.) (2015): Er,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sie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>, „</w:t>
      </w:r>
      <w:proofErr w:type="gram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hen“</w:t>
      </w:r>
      <w:proofErr w:type="gram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Geschlechtsneutrales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Pronomen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(online). URL: </w:t>
      </w:r>
      <w:hyperlink r:id="rId12" w:history="1">
        <w:r w:rsidRPr="003F72DB">
          <w:rPr>
            <w:rStyle w:val="a3"/>
            <w:rFonts w:ascii="Times New Roman" w:hAnsi="Times New Roman" w:cs="Times New Roman"/>
            <w:sz w:val="28"/>
            <w:szCs w:val="28"/>
          </w:rPr>
          <w:t>http://www.faz.net/aktuell/gesellschaft/hen-schweden-fuehrt-geschlechtsn</w:t>
        </w:r>
      </w:hyperlink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7ABD43" w14:textId="02BA3DE1" w:rsidR="000D0510" w:rsidRDefault="000D0510" w:rsidP="003F72D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14:paraId="73D8743C" w14:textId="02FC5233" w:rsidR="003F72DB" w:rsidRPr="003F72DB" w:rsidRDefault="003F72DB" w:rsidP="003F72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рефератів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презентацій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Наприкінці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семестру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підсумковий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F72DB">
        <w:rPr>
          <w:rFonts w:ascii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Pr="003F72D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FE254E3" w14:textId="01FD775A" w:rsidR="000D0510" w:rsidRPr="000D0510" w:rsidRDefault="000D0510" w:rsidP="003F72D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AD0D79" w14:textId="18E4F9CA" w:rsidR="000D0510" w:rsidRDefault="000D0510" w:rsidP="003F72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студент набрав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для поточного контролю) і з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0510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0D051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9"/>
        <w:gridCol w:w="1559"/>
        <w:gridCol w:w="1785"/>
        <w:gridCol w:w="1334"/>
        <w:gridCol w:w="1134"/>
        <w:gridCol w:w="1309"/>
        <w:gridCol w:w="1639"/>
      </w:tblGrid>
      <w:tr w:rsidR="003F72DB" w:rsidRPr="003F72DB" w14:paraId="76111FC4" w14:textId="77777777" w:rsidTr="001C4F0B">
        <w:trPr>
          <w:trHeight w:val="292"/>
        </w:trPr>
        <w:tc>
          <w:tcPr>
            <w:tcW w:w="8500" w:type="dxa"/>
            <w:gridSpan w:val="6"/>
          </w:tcPr>
          <w:p w14:paraId="45EAC608" w14:textId="77777777" w:rsidR="003F72DB" w:rsidRPr="003F72DB" w:rsidRDefault="003F72DB" w:rsidP="003F72D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1639" w:type="dxa"/>
          </w:tcPr>
          <w:p w14:paraId="5ABBEA1C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</w:tr>
      <w:tr w:rsidR="003F72DB" w:rsidRPr="003F72DB" w14:paraId="39B0EDBD" w14:textId="77777777" w:rsidTr="001C4F0B">
        <w:trPr>
          <w:trHeight w:val="280"/>
        </w:trPr>
        <w:tc>
          <w:tcPr>
            <w:tcW w:w="4723" w:type="dxa"/>
            <w:gridSpan w:val="3"/>
            <w:tcBorders>
              <w:bottom w:val="single" w:sz="4" w:space="0" w:color="auto"/>
            </w:tcBorders>
          </w:tcPr>
          <w:p w14:paraId="09FC9C1D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3AFDCC64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7" w:type="dxa"/>
            <w:gridSpan w:val="3"/>
            <w:tcBorders>
              <w:bottom w:val="single" w:sz="4" w:space="0" w:color="auto"/>
            </w:tcBorders>
          </w:tcPr>
          <w:p w14:paraId="3596F996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3F72D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7BF1C07D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 w:val="restart"/>
          </w:tcPr>
          <w:p w14:paraId="047262D1" w14:textId="77777777" w:rsidR="003F72DB" w:rsidRPr="003F72DB" w:rsidRDefault="003F72DB" w:rsidP="003F72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59284" w14:textId="77777777" w:rsidR="003F72DB" w:rsidRPr="003F72DB" w:rsidRDefault="003F72DB" w:rsidP="003F72D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29A56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57B79A8D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B" w:rsidRPr="003F72DB" w14:paraId="102177DD" w14:textId="77777777" w:rsidTr="001C4F0B">
        <w:trPr>
          <w:trHeight w:val="835"/>
        </w:trPr>
        <w:tc>
          <w:tcPr>
            <w:tcW w:w="1379" w:type="dxa"/>
          </w:tcPr>
          <w:p w14:paraId="539D2F52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559" w:type="dxa"/>
          </w:tcPr>
          <w:p w14:paraId="502D3774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1B52EBC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Т3</w:t>
            </w:r>
          </w:p>
        </w:tc>
        <w:tc>
          <w:tcPr>
            <w:tcW w:w="1334" w:type="dxa"/>
          </w:tcPr>
          <w:p w14:paraId="4ECEDB15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Т4</w:t>
            </w:r>
          </w:p>
        </w:tc>
        <w:tc>
          <w:tcPr>
            <w:tcW w:w="1134" w:type="dxa"/>
          </w:tcPr>
          <w:p w14:paraId="70B786F9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Т5</w:t>
            </w:r>
          </w:p>
        </w:tc>
        <w:tc>
          <w:tcPr>
            <w:tcW w:w="1309" w:type="dxa"/>
          </w:tcPr>
          <w:p w14:paraId="4BC1F033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Т6</w:t>
            </w:r>
          </w:p>
          <w:p w14:paraId="6A28A42D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2F69" w14:textId="77777777" w:rsidR="003F72DB" w:rsidRPr="003F72DB" w:rsidRDefault="003F72DB" w:rsidP="003F7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</w:tcPr>
          <w:p w14:paraId="113A998D" w14:textId="77777777" w:rsidR="003F72DB" w:rsidRPr="003F72DB" w:rsidRDefault="003F72DB" w:rsidP="003F7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DB" w:rsidRPr="003F72DB" w14:paraId="210AFEA0" w14:textId="77777777" w:rsidTr="001C4F0B">
        <w:tc>
          <w:tcPr>
            <w:tcW w:w="1379" w:type="dxa"/>
          </w:tcPr>
          <w:p w14:paraId="6F001141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70A2DEC0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33485A92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4" w:type="dxa"/>
          </w:tcPr>
          <w:p w14:paraId="79C75F63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0A35CB0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14:paraId="4627B25D" w14:textId="77777777" w:rsidR="003F72DB" w:rsidRPr="003F72DB" w:rsidRDefault="003F72DB" w:rsidP="003F7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9" w:type="dxa"/>
            <w:vMerge/>
          </w:tcPr>
          <w:p w14:paraId="7BF27F4F" w14:textId="77777777" w:rsidR="003F72DB" w:rsidRPr="003F72DB" w:rsidRDefault="003F72DB" w:rsidP="003F7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9A12B2" w14:textId="77777777" w:rsidR="003F72DB" w:rsidRDefault="003F72DB" w:rsidP="003F72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3F72DB">
          <w:pgSz w:w="11910" w:h="16840"/>
          <w:pgMar w:top="1020" w:right="320" w:bottom="280" w:left="1240" w:header="742" w:footer="0" w:gutter="0"/>
          <w:cols w:space="720"/>
        </w:sectPr>
      </w:pPr>
      <w:bookmarkStart w:id="0" w:name="3znysh7" w:colFirst="0" w:colLast="0"/>
      <w:bookmarkStart w:id="1" w:name="2et92p0" w:colFirst="0" w:colLast="0"/>
      <w:bookmarkEnd w:id="0"/>
      <w:bookmarkEnd w:id="1"/>
    </w:p>
    <w:p w14:paraId="2ACC1A3F" w14:textId="77777777" w:rsidR="000D0510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14:paraId="7317A5B8" w14:textId="77777777" w:rsidR="000D0510" w:rsidRPr="003F72DB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(«правила гри»)</w:t>
      </w:r>
    </w:p>
    <w:p w14:paraId="6D3D84F1" w14:textId="77777777" w:rsidR="000D0510" w:rsidRPr="003F72DB" w:rsidRDefault="000D0510" w:rsidP="003F72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22108D" w14:textId="77777777" w:rsidR="000D0510" w:rsidRPr="003F72DB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Відвідування занять. Регуляція пропусків</w:t>
      </w:r>
    </w:p>
    <w:p w14:paraId="71E1ECED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14:paraId="034B3C1C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14:paraId="784DA2F5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5719853" w14:textId="77777777" w:rsidR="000D0510" w:rsidRPr="003F72DB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Дедлайни та перескладання</w:t>
      </w:r>
    </w:p>
    <w:p w14:paraId="01ED9AB9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documents</w:t>
      </w:r>
      <w:proofErr w:type="spellEnd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polozennya</w:t>
      </w:r>
      <w:proofErr w:type="spellEnd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/poloz-org-kontrol_2022.pdf)</w:t>
      </w:r>
    </w:p>
    <w:p w14:paraId="13555445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8EA339" w14:textId="77777777" w:rsidR="000D0510" w:rsidRPr="003F72DB" w:rsidRDefault="000D0510" w:rsidP="003F72D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Комунікація</w:t>
      </w:r>
    </w:p>
    <w:p w14:paraId="3A18AF7A" w14:textId="77777777" w:rsidR="000D0510" w:rsidRPr="003F72DB" w:rsidRDefault="000D0510" w:rsidP="003F72D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Всі робочі оголошення надсилаються на чат </w:t>
      </w:r>
      <w:proofErr w:type="spellStart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академгрупи</w:t>
      </w:r>
      <w:proofErr w:type="spellEnd"/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 w:rsidRPr="003F72DB">
        <w:rPr>
          <w:rFonts w:ascii="Times New Roman" w:eastAsia="Calibri" w:hAnsi="Times New Roman" w:cs="Times New Roman"/>
          <w:sz w:val="28"/>
          <w:szCs w:val="28"/>
        </w:rPr>
        <w:t>Viber</w:t>
      </w:r>
      <w:r w:rsidRPr="003F72DB">
        <w:rPr>
          <w:rFonts w:ascii="Times New Roman" w:eastAsia="Calibri" w:hAnsi="Times New Roman" w:cs="Times New Roman"/>
          <w:sz w:val="28"/>
          <w:szCs w:val="28"/>
          <w:lang w:val="uk-UA"/>
        </w:rPr>
        <w:t>. Студенти мають регулярно перевіряти повідомлення і вчасно на них реагувати.</w:t>
      </w:r>
    </w:p>
    <w:p w14:paraId="6010B921" w14:textId="77777777" w:rsidR="000D0510" w:rsidRDefault="000D0510" w:rsidP="003F72DB">
      <w:pPr>
        <w:spacing w:line="276" w:lineRule="auto"/>
        <w:rPr>
          <w:rFonts w:ascii="Times New Roman" w:eastAsia="Calibri" w:hAnsi="Times New Roman" w:cs="Times New Roman"/>
          <w:sz w:val="28"/>
          <w:lang w:val="ru-RU"/>
        </w:rPr>
      </w:pPr>
    </w:p>
    <w:p w14:paraId="7C9B10B5" w14:textId="77777777" w:rsidR="000D0510" w:rsidRDefault="000D0510" w:rsidP="003F72DB">
      <w:pPr>
        <w:spacing w:line="276" w:lineRule="auto"/>
        <w:rPr>
          <w:lang w:val="ru-RU"/>
        </w:rPr>
      </w:pPr>
    </w:p>
    <w:p w14:paraId="63DCFB45" w14:textId="77777777" w:rsidR="000D0510" w:rsidRDefault="000D0510" w:rsidP="003F72DB">
      <w:pPr>
        <w:spacing w:line="276" w:lineRule="auto"/>
        <w:rPr>
          <w:lang w:val="ru-RU"/>
        </w:rPr>
      </w:pPr>
    </w:p>
    <w:p w14:paraId="2FA0684C" w14:textId="77777777" w:rsidR="000D0510" w:rsidRDefault="000D0510" w:rsidP="003F72DB">
      <w:pPr>
        <w:spacing w:line="276" w:lineRule="auto"/>
        <w:rPr>
          <w:lang w:val="ru-RU"/>
        </w:rPr>
      </w:pPr>
    </w:p>
    <w:p w14:paraId="37CE0A78" w14:textId="77777777" w:rsidR="000D0510" w:rsidRDefault="000D0510" w:rsidP="003F72DB">
      <w:pPr>
        <w:spacing w:line="276" w:lineRule="auto"/>
        <w:rPr>
          <w:lang w:val="ru-RU"/>
        </w:rPr>
      </w:pPr>
    </w:p>
    <w:p w14:paraId="767475C8" w14:textId="77777777" w:rsidR="000D0510" w:rsidRDefault="000D0510" w:rsidP="003F72DB">
      <w:pPr>
        <w:spacing w:line="276" w:lineRule="auto"/>
        <w:rPr>
          <w:lang w:val="ru-RU"/>
        </w:rPr>
      </w:pPr>
    </w:p>
    <w:p w14:paraId="6CD771D7" w14:textId="77777777" w:rsidR="000D0510" w:rsidRDefault="000D0510" w:rsidP="000D0510">
      <w:pPr>
        <w:rPr>
          <w:lang w:val="ru-RU"/>
        </w:rPr>
      </w:pPr>
    </w:p>
    <w:p w14:paraId="20372C6F" w14:textId="77777777" w:rsidR="000D0510" w:rsidRDefault="000D0510" w:rsidP="000D0510">
      <w:pPr>
        <w:rPr>
          <w:lang w:val="ru-RU"/>
        </w:rPr>
      </w:pPr>
    </w:p>
    <w:p w14:paraId="7FB06461" w14:textId="77777777" w:rsidR="000D0510" w:rsidRDefault="000D0510" w:rsidP="000D0510">
      <w:pPr>
        <w:rPr>
          <w:lang w:val="ru-RU"/>
        </w:rPr>
      </w:pPr>
    </w:p>
    <w:p w14:paraId="2D07D713" w14:textId="77777777" w:rsidR="000D0510" w:rsidRDefault="000D0510" w:rsidP="000D0510">
      <w:pPr>
        <w:rPr>
          <w:lang w:val="ru-RU"/>
        </w:rPr>
      </w:pPr>
    </w:p>
    <w:p w14:paraId="20D2B4DE" w14:textId="77777777" w:rsidR="007945DD" w:rsidRPr="000D0510" w:rsidRDefault="007945D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945DD" w:rsidRPr="000D0510" w:rsidSect="000D0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24653"/>
    <w:multiLevelType w:val="hybridMultilevel"/>
    <w:tmpl w:val="C8200F74"/>
    <w:lvl w:ilvl="0" w:tplc="2E608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903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6"/>
    <w:rsid w:val="000D0510"/>
    <w:rsid w:val="003F72DB"/>
    <w:rsid w:val="00691296"/>
    <w:rsid w:val="007101BB"/>
    <w:rsid w:val="007945DD"/>
    <w:rsid w:val="007C15A4"/>
    <w:rsid w:val="00B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30F7"/>
  <w15:chartTrackingRefBased/>
  <w15:docId w15:val="{ADB0DF79-FE9F-485F-B2FD-EF2526C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10"/>
    <w:pPr>
      <w:spacing w:line="252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0D0510"/>
    <w:pPr>
      <w:widowControl w:val="0"/>
      <w:spacing w:after="0" w:line="240" w:lineRule="auto"/>
      <w:ind w:left="1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510"/>
    <w:rPr>
      <w:color w:val="0563C1" w:themeColor="hyperlink"/>
      <w:u w:val="single"/>
    </w:rPr>
  </w:style>
  <w:style w:type="paragraph" w:styleId="a4">
    <w:name w:val="No Spacing"/>
    <w:uiPriority w:val="1"/>
    <w:qFormat/>
    <w:rsid w:val="000D051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1"/>
    <w:qFormat/>
    <w:rsid w:val="000D051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1">
    <w:name w:val="Сетка таблицы1"/>
    <w:basedOn w:val="a1"/>
    <w:uiPriority w:val="39"/>
    <w:rsid w:val="000D051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0510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contact.com/2009fil/7_dozhuk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8230077092?pwd=RXBUWURoY1dFUVZIditIVjRpdnBRdz09" TargetMode="External"/><Relationship Id="rId12" Type="http://schemas.openxmlformats.org/officeDocument/2006/relationships/hyperlink" Target="http://www.faz.net/aktuell/gesellschaft/hen-schweden-fuehrt-geschlecht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http://www.wicc.net.ua/media/Slovnyk_fem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a-z-gender.net/ua/gendernij-stereot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VZhDU/2009_45/23_4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Хаджилий</cp:lastModifiedBy>
  <cp:revision>2</cp:revision>
  <dcterms:created xsi:type="dcterms:W3CDTF">2023-09-08T18:57:00Z</dcterms:created>
  <dcterms:modified xsi:type="dcterms:W3CDTF">2023-09-08T18:57:00Z</dcterms:modified>
</cp:coreProperties>
</file>